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Default Extension="doc" ContentType="application/msword"/>
  <Default Extension="pptx" ContentType="application/vnd.openxmlformats-officedocument.presentationml.presentation"/>
  <Default Extension="ppt" ContentType="application/vnd.ms-powerpoint"/>
  <Default Extension="xlsx" ContentType="application/vnd.openxmlformats-officedocument.spreadsheetml.sheet"/>
  <Default Extension="xls" ContentType="application/vnd.ms-exce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footer1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></Relationship><Relationship Id="rId2" Type="http://schemas.openxmlformats.org/package/2006/relationships/metadata/core-properties" Target="docProps/core.xml"></Relationship><Relationship Id="rId3" Type="http://schemas.openxmlformats.org/officeDocument/2006/relationships/extended-properties" Target="docProps/app.xml"></Relationship></Relationships>
</file>

<file path=word/document.xml><?xml version="1.0" encoding="utf-8"?>
<w:document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xmlns:a14="http://schemas.microsoft.com/office/drawing/2010/main" mc:Ignorable="w14 wp14">
  <w:body>
    <w:tbl>
      <w:tblPr>
        <w:tblW w:w="9467" w:type="dxa"/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CellMar>
          <w:top w:w="27" w:type="dxa"/>
          <w:left w:w="27" w:type="dxa"/>
          <w:bottom w:w="27" w:type="dxa"/>
          <w:right w:w="27" w:type="dxa"/>
        </w:tblCellMar>
      </w:tblPr>
      <w:tr>
        <w:trPr>
          <w:cantSplit w:val="0"/>
          <w:trHeight w:val="844" w:hRule="atLeast"/>
        </w:trPr>
        <w:tc>
          <w:tcPr>
            <w:tcW w:w="1780" w:type="dxa"/>
            <w:gridSpan w:val="2"/>
            <w:tcBorders>
              <w:top w:val="single" w:color="000000" w:sz="9" w:space="0"/>
              <w:left w:val="single" w:color="000000" w:sz="9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70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4"/>
                <w:lang/>
              </w:rPr>
              <w:t xml:space="preserve">사       건</w:t>
            </w:r>
          </w:p>
        </w:tc>
        <w:tc>
          <w:tcPr>
            <w:tcW w:w="7687" w:type="dxa"/>
            <w:gridSpan w:val="2"/>
            <w:tcBorders>
              <w:top w:val="single" w:color="000000" w:sz="9" w:space="0"/>
              <w:left w:val="single" w:color="000000" w:sz="2" w:space="0"/>
              <w:bottom w:val="single" w:color="000000" w:sz="2" w:space="0"/>
              <w:right w:val="single" w:color="000000" w:sz="9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103" w:right="0" w:firstLine="0"/>
              <w:jc w:val="both"/>
              <w:textAlignment w:val="baseline"/>
              <w:rPr>
                <w:rFonts w:ascii="휴먼명조" w:eastAsia="휴먼명조"/>
                <w:color w:val="000000"/>
                <w:spacing w:val="-7"/>
                <w:w w:val="100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2019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경기행심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1445 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태양광발전시설 개발행위허가지 공사중지명령 취소청구</w:t>
            </w:r>
          </w:p>
        </w:tc>
      </w:tr>
      <w:tr>
        <w:trPr>
          <w:cantSplit w:val="0"/>
          <w:trHeight w:val="943" w:hRule="atLeast"/>
        </w:trPr>
        <w:tc>
          <w:tcPr>
            <w:tcW w:w="1780" w:type="dxa"/>
            <w:gridSpan w:val="2"/>
            <w:tcBorders>
              <w:top w:val="single" w:color="000000" w:sz="2" w:space="0"/>
              <w:left w:val="single" w:color="000000" w:sz="9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70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4"/>
                <w:lang/>
              </w:rPr>
              <w:t xml:space="preserve">주       문</w:t>
            </w:r>
          </w:p>
        </w:tc>
        <w:tc>
          <w:tcPr>
            <w:tcW w:w="768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9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0"/>
              <w:snapToGrid w:val="1"/>
              <w:spacing w:before="28" w:after="0" w:line="288" w:lineRule="auto"/>
              <w:ind w:left="103" w:right="80" w:firstLine="5"/>
              <w:jc w:val="both"/>
              <w:textAlignment w:val="baseline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청구인의 청구를 기각한다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.</w:t>
            </w:r>
          </w:p>
        </w:tc>
      </w:tr>
      <w:tr>
        <w:trPr>
          <w:cantSplit w:val="0"/>
          <w:trHeight w:val="943" w:hRule="atLeast"/>
        </w:trPr>
        <w:tc>
          <w:tcPr>
            <w:tcW w:w="1780" w:type="dxa"/>
            <w:gridSpan w:val="2"/>
            <w:tcBorders>
              <w:top w:val="single" w:color="000000" w:sz="2" w:space="0"/>
              <w:left w:val="single" w:color="000000" w:sz="9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70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4"/>
                <w:lang/>
              </w:rPr>
              <w:t xml:space="preserve">청 구 취 지</w:t>
            </w:r>
          </w:p>
        </w:tc>
        <w:tc>
          <w:tcPr>
            <w:tcW w:w="768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9" w:space="0"/>
              <w:tl2br w:val="nil"/>
              <w:tr2bl w:val="nil"/>
            </w:tcBorders>
            <w:vAlign w:val="center"/>
          </w:tcPr>
          <w:p>
            <w:pPr>
              <w:pStyle w:val="17"/>
              <w:tabs/>
              <w:wordWrap w:val="0"/>
              <w:snapToGrid w:val="0"/>
              <w:spacing w:before="0" w:after="0" w:line="288" w:lineRule="auto"/>
              <w:ind w:left="108" w:right="200" w:hanging="108"/>
              <w:jc w:val="both"/>
              <w:textAlignment w:val="baseline"/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 피청구인이 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2019. 7. 10. 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청구인에 대하여 한 개발행위허가지 공사중지명령을 취소한다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.</w:t>
            </w:r>
          </w:p>
        </w:tc>
      </w:tr>
      <w:tr>
        <w:trPr>
          <w:cantSplit w:val="0"/>
          <w:trHeight w:val="943" w:hRule="atLeast"/>
        </w:trPr>
        <w:tc>
          <w:tcPr>
            <w:tcW w:w="1780" w:type="dxa"/>
            <w:gridSpan w:val="2"/>
            <w:tcBorders>
              <w:top w:val="single" w:color="000000" w:sz="2" w:space="0"/>
              <w:left w:val="single" w:color="000000" w:sz="9" w:space="0"/>
              <w:bottom w:val="single" w:color="000000" w:sz="9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70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4"/>
                <w:lang/>
              </w:rPr>
              <w:t xml:space="preserve">재 결 일 자</w:t>
            </w:r>
          </w:p>
        </w:tc>
        <w:tc>
          <w:tcPr>
            <w:tcW w:w="768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9" w:space="0"/>
              <w:right w:val="single" w:color="000000" w:sz="9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0"/>
              <w:snapToGrid w:val="1"/>
              <w:spacing w:before="0" w:after="0" w:line="270" w:lineRule="auto"/>
              <w:ind w:left="0" w:right="0" w:firstLine="0"/>
              <w:jc w:val="both"/>
              <w:textAlignment w:val="baseline"/>
              <w:rPr>
                <w:rFonts w:ascii="휴먼명조" w:eastAsia="휴먼명조"/>
                <w:color w:val="000000"/>
                <w:spacing w:val="2"/>
                <w:w w:val="100"/>
                <w:position w:val="0"/>
                <w:sz w:val="24"/>
                <w:lang/>
              </w:rPr>
            </w:pP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 </w:t>
            </w:r>
            <w:r>
              <w:rPr>
                <w:rFonts w:ascii="휴먼명조" w:eastAsia="휴먼명조"/>
                <w:color w:val="000000"/>
                <w:spacing w:val="-12"/>
                <w:w w:val="95"/>
                <w:position w:val="0"/>
                <w:sz w:val="24"/>
                <w:lang/>
              </w:rPr>
              <w:t xml:space="preserve">2019. 10. 21.</w:t>
            </w:r>
          </w:p>
        </w:tc>
      </w:tr>
    </w:tbl>
    <w:p>
      <w:pPr>
        <w:pStyle w:val="14"/>
        <w:tabs/>
        <w:wordWrap w:val="1"/>
        <w:snapToGrid w:val="0"/>
        <w:spacing w:before="200" w:after="0" w:line="396" w:lineRule="auto"/>
        <w:ind w:left="0" w:right="0" w:firstLine="0"/>
        <w:jc w:val="center"/>
        <w:textAlignment w:val="baseline"/>
        <w:rPr>
          <w:rFonts w:ascii="휴먼명조" w:eastAsia="휴먼명조"/>
          <w:b w:val="1"/>
          <w:bCs w:val="1"/>
          <w:color w:val="000000"/>
          <w:spacing w:val="-15"/>
          <w:w w:val="95"/>
          <w:position w:val="0"/>
          <w:sz w:val="30"/>
          <w:u w:val="single" w:color="000000"/>
          <w:lang/>
        </w:rPr>
      </w:pPr>
      <w:r>
        <w:rPr>
          <w:rFonts w:ascii="휴먼명조" w:eastAsia="휴먼명조"/>
          <w:b w:val="1"/>
          <w:bCs w:val="1"/>
          <w:color w:val="000000"/>
          <w:spacing w:val="-15"/>
          <w:w w:val="95"/>
          <w:position w:val="0"/>
          <w:sz w:val="30"/>
          <w:lang/>
        </w:rPr>
        <w:t xml:space="preserve">이        유</w:t>
      </w:r>
    </w:p>
    <w:p>
      <w:pPr>
        <w:pStyle w:val="16"/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</w:pPr>
      <w:r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  <w:t xml:space="preserve">사건개요</w:t>
      </w:r>
    </w:p>
    <w:p>
      <w:pPr>
        <w:pStyle w:val="17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2,450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㎡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이하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토지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 태양광발전사업을 하기 위하여 피청구인으로부터 이 사건 토지 중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1,950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㎡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 대하여 개발행위허가 및 전기발전사업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태양광발전사업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허가를 받은 자인데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청구외 주식회사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◎◎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과 태양광시설 설치 공사계약을 체결하여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2019. 6. 18.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허가지에 포크레인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대를 들여 토지 평탄작업을 시작하였으나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토지 인근 거주 주민들이 공사착공 당일 공사착공에 문제를 제기하여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다음날 주민들에게 제기된 문제점들에 대해 설명하고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 이장의 요청에 따라 공사를 중지하였다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7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2019. 7. 2.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태양광발전사업에 대한 집단민원을 접수하고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7. 8.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민원인들과 면담한 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7. 9.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청구인과 면담하여 공사중지 통보를 사전고지하고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7. 10.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청구인에 대하여 마을 주민들의 민원이 해소되는 때까지 공사를 중지할 것을 명령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6"/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</w:pPr>
      <w:r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  <w:t xml:space="preserve">당사자 주장</w:t>
      </w:r>
    </w:p>
    <w:p>
      <w:pPr>
        <w:pStyle w:val="18"/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가</w:t>
      </w: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청구인 주장</w:t>
      </w:r>
    </w:p>
    <w:p>
      <w:pPr>
        <w:pStyle w:val="21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공사중지처분 경위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경기도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○○○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전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2,450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㎡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 태양광발전사업을 하기 위하여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2018. 6. 4.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피청구인인 피청구인으로부터 발전사업허가를 받고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2019. 2. 1.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피청구인으로부터 개발행위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농지전용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허가를 받았다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허가를 받기 위해 필요한 요건들을 모두 구비한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위 개발행위허가를 받자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2018. 3. 29.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태양광발전설치업을 하는 청구외 주식회사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◎◎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‘◎◎’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과 계약금액을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억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6,280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만 원으로 하는 태양광발전소설치계약을 체결하였고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3. 30.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착수금으로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880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만 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6. 11.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중도금으로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7,700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만 원을 지급하였다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청구인의 공사계약자인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◎◎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2019. 6. 18.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허가지에 포크레인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대를 들여 토지 평탄작업을 하였는데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그날 저녁에 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형을 비롯한 인근 주민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여명이 청구인에게 태양광발전소 설치를 하는 경우에 전자파 발생 여부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모듈설치로 주위 온도가 상승하여 주위 농작물 피해 여부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천둥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번개시 화재 여부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토양 오염 여부 등에 대하여 걱정하면서 질의하였다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이에 대하여 청구인은 다음날인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2018. 6. 19.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&amp;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풍력 발전 바로 알기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책자를 제시하면서 책자에 나와 있는 대로 설명을 하고 안심을 시켜주었다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즉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전자파 인체 보호기준은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83.3mG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인데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 인버터에서는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17.3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정도로 경미하고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직류에서는 전자파가 발생하지 않고 교류로 변환해주는 인버터에서만 발생하며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1~2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미터만 떨어져도 거의 영향이 없다는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 전인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2018. 5. 28.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피청구인도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도서관에서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형 태양광 복지모델을 제시한 적이 있고 정부적 차원에서 태양광사업이 진행되고 있다는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태양광은 빛을 흡수하기 때문에 온도 상승 문제가 없는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에너지 저장장치를 설치하지 않고 바로 한전변압기로 송출하고 번개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천둥에 대해서도 피뢰침 등 안전장치를 설치하기 때문에 화재 우려가 없는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중국산이 아니고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◈◈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모듈을 사용하기 때문에 토양 오염 문제가 없는 점 등을 설명하고 안심시켜 주는 등 사업자로서 정성껏 대답하고 많은 노력을 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그날 이장이 협의가 될 때까지는 잠시 공사를 중지해 달라고 요구하여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곧바로 공사를 중지하였고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현재까지 공사를 한 적이 없다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공사는 딱 하루만 진행된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이곳은 청구인의 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父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祖父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의 고향이기 때문에 동네사람들의 의견을 완전히 무시하면서 협의 중에 공사를 강행할 생각은 없었다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청구인의 협의 노력에도 불구하고 반대하는 사람들이 나쁜 얘기들을 퍼뜨리면서 그 숫자가 늘어나 합의가 점점 어렵게 되었고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많은 수의 주민들이 발전소 설치에 반대하는 것으로 알고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 주민들은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2019. 7.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초순경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또는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월 말경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청구인도 모르게 피청구인에게 사업발전허가를 취소해달라는 내용의 반대민원을 제출하였고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시장면담을 요청하였다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시청 담당 개발민원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팀장은 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7. 4.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 청구인의 대리인인 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父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심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식을 불러 발전소가 들어오면 동네 땅값이 떨어진다는 반대민원이 들어왔으니 공사를 하려면 민원을 해소하라고 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구체적인 민원사항에 대하여는 알려주지 않았고 현재까지도 모른다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2019. 7. 8.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오전에 시청 담당자가 합의가 되었는지 전화로 물어보아 아직 협의 중이라고 대답하였고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7. 9.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마을주민들은 국장과의 면담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피청구인과의 면담을 통해 허가 취소를 요구하였고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7. 10.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곧바로 이 사건 공사중지처분을 한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주민들이 집단적으로 민원을 제기하고 농성을 할 기세를 보이며 시장면담을 요구하자 이를 무마할 목적으로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전기사업법에 의한 발전사업 허가 당시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 첨부된 발전소 설치 전에 지역주민 의견을 충분히 수렴 주민의견을 최우선적으로 반영하여 민원해소토록 허가조건을 부여하였으나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 주민들이 주장하는 조망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주변토지이용 저해 등 다수 주민의견 해소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를 이유로 마을 주민의견 해소 시까지 개발공사를 중지하라는 명령을 내린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주민들이 허가취소를 요구하는 민원을 넣은 상황에서 주민의견 해소 시까지 공사중지처분을 내린 것은 허가취소처분과 실질적으로 동일한 내용의 처분이다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그러나 이러한 공사중지처분은 다음과 같은 이유로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부당하다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한편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2019. 5. 28.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도서관에서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형 태양광 복지모델을 제시하면서 여러 지원이 있으니 적극적으로 태양광 사업을 하도록 유도하였으며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7. 15.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한국노총중앙교육원에서 각 읍면동 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통장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300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여명을 모아놓고 태양광 사업에 대하여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 복지마을 모델을 제시하면서 태양광사업을 하도록 적극적으로 권장하였다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그럼에도 불구하고 마을주민들이 민원을 제기하자 시끄러운 문제에 휘말리기 싫어서 적법하게 발령된 허가처분에 기하여 딱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일 진행된 적법한 공사를 중지시킨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.) </w:t>
      </w:r>
    </w:p>
    <w:p>
      <w:pPr>
        <w:pStyle w:val="21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공사중지처분의 위법성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 :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실체법적 사유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발전사업 허가 시 부여한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 자체가 위법하여 무효이다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위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발전소 설치 전에 반드시 지역주민의 의견을 충분히 수렴 주민의견을 최우선적으로 반영하여 민원해소토록 하여야 하며 동 사업으로 인한 민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형사상의 문제 등을 처리하여야 합니다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라고 규정되어 있는바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아래와 같은 사유로 위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무효이다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첫째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대법원은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장례식장의 건축이 인근 토지나 건축물의 이용현황에 비추어 현저히 부적합한 용도의 건축물을 건축하는 경우에 해당하지 않음에도 인근 주민들의 민원이 있다는 사정만으로 건축허가신청을 반려한 것은 위법하다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고 판시한 바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대법원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2000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9762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판결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일반적으로 장례식장은 혐오시설로 취급하여 마을 사람들이 꺼리게 되는 바 모든 허가요건을 적법하게 갖추었음에도 근거규정에도 없는 마을 주민들의 동의서를 요구하거나 마을 주민들의 반대 민원이 있다는 사정만으로 건축허가신청을 반려하는 것은 위법하다는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즉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근거규정 없이 인근 주민들의 민원을 이유로 건축허가신청을 반려할 수 없다는 의미이다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또한 비슷한 대법원 판례로서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구 도시계획법상의 자연녹지지역에 위치한 토지 위에 장례식장을 신축하는 내용의 건축허가 신청을 한 경우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장례식장에 대한 부정적인 정서와 그로 인한 공공시설의 이용기피 등과 같은 막연한 우려나 가능성만으로 장례식장의 신축이 현저히 공공복리에 반한다고 볼 수 없다는 이유로 건축허가신청을 반려한 처분은 위법하다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라고 판시한 바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대법원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2002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3263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판결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위 판례들에 비추어 보면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이 사건 중지처분의 근거가 된 허가조건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호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반대민원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는 어떠한 법률이나 법률에 위임받은 시행령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시행규칙에 근거하지 아니한 것이고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피청구인이 민원발생이나 소란을 우려하여 임의로 부과한 것으로서 위법하고 무효라고 할 것이다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둘째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토지이용 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 절차 간소화를 위한 특별법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3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항에 근거하여 국토교통부 훈령인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토지이용 인허가에 따른 지방도시계획위원회 운영 지침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기본원칙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1-2-2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신청자에게 토지이용 인허가 절차 간소화를 위한 특별법 또는 관련지침과 관계가 없는 서류를 요구하거나 불필요한 행정절차 이행요구를 지양함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주민동의서 첨부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주민설명회 개최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사업과 무관하거나 과도한 기반시설 설치요구 등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이라고 규정되어 있는바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국토의 계획 및 이용에 관한 법률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등에 따른 인허가 심의시에 관련 법령이 요구하는 허가 요건 외에 함부로 주민동의서 첨부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주민설명회 개최 등을 요구하지 않도록 한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따라서 위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상위 부서인 국토교통부의 훈령도 정면으로 무시하고 위반하면서 내려진 것으로서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무효이다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셋째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법률이나 하위 법령에 근거하고 있지 않은 것으로서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주민들의 반대민원 발생 시에 발생하는 소란이나 불편을 모두 수허가자에게 떠넘겨 해결시키려고 하는 행정편의적 발상에서 임의적으로 붙인 부관에 불과하다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위와 같은 부관을 부여할 적법한 법적 근거가 있다면 그 적용 법률이나 하위 법령을 제시해 주기 바란다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넷째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참고로 이 사건 개발행위 허가 시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5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항를 보면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각 호 사항 위반 시 허가취소 또는 공사중지 조치를 받도록 되어 있으며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허가받은 자가 이 법에 의한 명령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처분을 위반한 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2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부정한 방법으로 이 법에 의한 허가 등을 받은 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3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개발행위관련 허가조건을 준수하지 아니하고 공사를 착공하였을 경우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허가사항 변경 시 사전 변경허가를 득하지 아니하고 수허가자 임의로 사업계획을 변경하였을 경우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5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개발행위허가에 따른 관련법 협의조건을 이행하지 않은 경우이다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즉 적법한 부관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허가조건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은 이와 같이 수허가자의 구체적인 위법행위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불법행위가 있는 경우로 한정되어 있는 것이며 이것이 전형적인 모습이다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그러므로 이 사건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호에서 말하는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민원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 주민들의 추상적인 반대민원까지 포함시키는 것은 어떠한 법적 근거도 없어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부당하다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   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가사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호를 수허가자가 개발행위지 공사나 태양광발전소 설비공사 시에 미리 세운 공사계획과 달리 이를 위반하는 공사를 하거나 법령에 위반하는 공사를 하여 주민들에게 피해가 있고 이러한 위법한 행위의 시정을 요구하는 민원이 들어오는 경우에 그 민원을 해소해야 하는 것으로 일부 좁혀 선해하여 일부 유효라고 가정해보더라도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아래와 같이 청구인은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 위반 사유가 없다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허가조건 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호 후문에 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동 사업으로 인한 민형사상의 문제 등을 처리하여야 합니다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라고 규정되어 있는바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정당한 민원은 수허가자가 위 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2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의가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.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항 넷째 사유처럼 법령이나 공사계획에 위반하여 공사를 하여 민사상 손해발생이나 형사상 처벌의 문제가 될 수 있는 구체적인 경우의 민원으로 한정하여 해석할 때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일부 유효로 볼 여지도 있다고 할 것이다</w:t>
      </w:r>
      <w:r>
        <w:rPr>
          <w:rFonts w:ascii="휴먼명조" w:eastAsia="휴먼명조"/>
          <w:color w:val="000000"/>
          <w:spacing w:val="-19"/>
          <w:w w:val="95"/>
          <w:position w:val="0"/>
          <w:sz w:val="24"/>
          <w:lang/>
        </w:rPr>
        <w:t xml:space="preserve">).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첫째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개발행위지에 대한 평탄공사를 단 하루 하다가 주민들의 요구로 대화를 위해 임의로 공사를 멈추고 대화를 하고 위험성이 없다는 점을 설명하려던 중이었고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따라서 법령이나 공사계획에 어긋나는 위법한 공사를 한 사실이 전혀 없다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둘째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인근 주민들의 민원은 청구인이 구체적으로 어떤 위법한 공사행위를 하여 손해가 발생하였다는 식의 구체적인 민원이 아니다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인근 주민들은 마을에 발전소가 들어오는 것이 싫으니 발전사업 허가를 취소해달라는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인근 주민들은 태양광발전소에 대한 부정적인 정서와 막연한 우려를 가지고 반대를 하는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공사중지 통보서에도 막연히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 주민들이 주장하는 조망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주변토지이용 저해 등 다수 주민의견 해소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라는 식으로 추상적으로 기재되어 있을 뿐이고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청구인이 어떤 공사를 어떻게 잘못하였다는 내용이 전혀 없다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셋째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 등의 추상적인 반대민원은 피청구인이 고려할 만한 정당한 민원이 아니다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왜냐하면 조경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 여부는 개발행위 허가 심사 시에 이미 고려된 사항이고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관련 규정에 저촉되지 아니한다고 보아 또는 저촉되지 아니하는 방법으로 공사를 진행하는 것으로 하여 이미 허가가 난 것이기 때문이다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따라서 추상적인 조망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경관저해의 우려만으로 허가취소에 준하는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주민의견 해소시까지 공사중지처분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을 내리는 것은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부당하다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 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개발행위허가 시에 제출된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토지이용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피해방지계획도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 보면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토지 경계부분을 보강토 옹벽으로 둘러 안전을 꾀하고 그 위에는 나무를 식재하여 일견 태양광발전 패널들이 한 눈에 보이지 않도록 공사를 할 계획이 세워져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그럼에도 불구하고 공사를 하기도 전에 추상적인 조망권 침해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 우려를 이유로 반대민원을 제기하는 것은 타당하지 아니하고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민원이 있다는 사정만으로 공사를 중지시키는 처분도 위법한 처분에 해당한다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넷째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예를 들어 피청구인이 고려할 만한 정당한 민원이 성립되려면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공사가 끝나거나 상당부분 진행된 후 법령이나 공사계획에 맞지 않게 공사가 어떤 방식으로 또는 내용으로 진행되었고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이에 따라 어떤 내용의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어느 정도의 피해가 있다는 식의 구체적인 피해 주장 민원을 제기해야 마땅한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다섯째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위와 같이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 규정된 민원을 수허가자의 법령위반이나 공사계획 위반의 불법공사에 대한 민원으로 좁혀 해석한다면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주민들의 추상적 반대 민원은 정당한 민원이 아니므로 고려할 가치도 없는 것이고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청구인에게는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 위반이 없는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여섯째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위 대법원 판례들에도 정면으로 반하는 처분이다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마을 주민들의 상당수가 발전소 설치에 반대를 하고 민원을 들어주지 않으면 집단시위를 하려는 듯한 기세를 보이자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행정편의적인 차원에서 쉽게 민원을 무마하기 위해서 적법하게 허가를 받아 이제 막 공사를 시작한 청구인에게 이 사건 공사중지처분을 내리는 것은 위 대법원 판례의 설시내용이나 판시 취지에 정면으로 위반하는 것이다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이는 법치행정원칙에도 어긋나 위법하다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소결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법률이나 하위 법령에 근거하지 아니하고 임의적으로 부여된 것으로서 무효이고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가사 민사상 피해발생이나 형사상 처벌의 문제가 발생되는 구체적인 법령위반 행위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법령이나 허가받은 공사계획에 어긋나는 위법한 공사행위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 대한 정당한 민원의 경우로 한정하여 좁게 해석한다면 유효로 볼 소지도 있지만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주민들의 민원은 단순히 태양광발전소가 설치되는 것이 싫다는 부정적 정서와 우려감에 기반한 추상적인 반대민원에 불과하므로 정당한 민원이 아니고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어떤 구체적인 법령위반행위나 공사계획에 위반한 공사행위를 한 적이 없으므로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호를 위반한 것이 아니다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발전소설치에 반대하는 추상적인 반대민원이 있다는 이유만으로 공사중지처분을 내리는 것은 위법하다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따라서 공사중지처분은 무효이거나 또는 취소되어야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이러한 추상적인 반대민원이 들어왔으면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이미 여러 가지 사항을 검토하여 적법하게 허가가 난 것이니 구체적인 위법사유 없이 허가를 취소할 수 없으며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앞으로 청구인이 공사를 함에 있어 위법사유가 발생하거나 주민들에게 구체적인 피해가 생기는 사유가 발생하는 경우 그때 구체적인 사유를 들어 피해민원을 제기할 수 있다고 주민들에게 설명하고 지도하였어야 마땅하다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그럼에도 불구하고 피청구인은 주민들의 민원과 관계인들의 압력에 굴복하여 법치행정원칙을 저버리고 아무런 근거도 없이 주민들의 민원이나 소란을 모두 적법하게 허가받은 청구인에게 떠넘긴 것이고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허가취소와 실질적으로 같은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민원 해소 시까지 공사중지처분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을 한 것은 매우 부당하다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  </w:t>
      </w:r>
    </w:p>
    <w:p>
      <w:pPr>
        <w:pStyle w:val="21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3)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중지처분의 위법성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 :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위반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처분의 근거와 이유제시의무 위반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행정청은 당사자에게 처분의 근거와 이유를 제시하여야 할 의무가 있는데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23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 본문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처분의 주된 법적근거 및 사실상의 사유를 어떠한 근거와 이유로 처분이 이루어진 것인지를 충분히 알 수 있을 정도로 명확하고 구체적으로 제시하여야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처분의 사실상 사유가 추상적으로만 제시된 경우와 같이 처분의 이유제시가 불충분한 경우에는 이유제시의무를 이행한 것이 되지 않는다고 할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대법원도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세무서장인 피고가 주류도매업자인 원고에 대하여 한 이 사건 일반주류도매업면허취소통지에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상기 주류도매장은 무면허 주류판매업자에게 주류를 판매하여 주세법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 및 국세법사무처리규정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26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조에 의거 지정조건위반으로 주류판매면허를 취소합니다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라고만 되어 있어서 원고의 영업기간과 거래상대방 등에 비추어 원고가 어떠한 거래행위로 인하여 이 사건 처분을 받았는지 알 수 없게 되어 있다면 이 사건 면허처분취소는 위법하다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라고 판시한 바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대법원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90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1786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판결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사안에서도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막연히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 주민들이 주장하는 조망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주변토지이용 저해 등 다수 주민의견해소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라고만 되어 있어 구체적으로 청구인이 어떠한 위법행위를 하여 주민들의 어떠한 조망권 침해나 경관저해 문제가 나타난 것인지에 대하여 명확하고 구체적으로 밝히지 않았는바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처분은 위법하다 할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또한 발전사업허가 당시 허가조건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호에 규정된 허가조건을 위반하였다는 취지인데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이러한 허가조건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호가 어떠한 법률에 의거하여 한 것인지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그래서 청구인이 어떠한 법률을 위반한 것인지조차 전혀 그 근거를 밝히지 아니하고 있는바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역시 위법하다 할 것이다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 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청문절차 위반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다른 법령등에서 청문을 하도록 규정하고 있는 경우에 청문을 하도록 규정되어 있는 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22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전기사업법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13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항에 따르면 같은 법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12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항에 따라 허가를 취소하려는 경우 청문절차를 거치도록 규정되어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사안은 허가 취소는 아니지만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주민의 민원이 해소될 때까지 공사를 중지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시킨 것이므로 허가를 취소한 경우에 준하여 볼 수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왜냐하면 인근 주민들은 발전소 설치 자체를 반대하고 있고 추상적으로만 조망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경관저해를 사유로 든 것으로 청구인이 사업을 포기하지 않는 한 민원해소는 불가능한 상황이다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따라서 청문절차를 거쳤어야 하는데도 불구하고 거치지 아니하였으므로 위법하다 할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사전 통지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의견제출절차 위반</w:t>
      </w:r>
    </w:p>
    <w:p>
      <w:pPr>
        <w:pStyle w:val="23"/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당사자에게 의무를 부과하거나 권익을 제한하는 처분의 경우에 청문절차나 공청회를 하는 경우가 아니면 당사자에게 의견진술의 기회를 주어야 한다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제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23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3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항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).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권익을 제한하는 처분이라 함은 수익적 행정행위의 취소 또는 정지처분 등을 말하므로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공사중지처분은 권익을 제한하는 처분에 해당하므로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피청구인이 위 청문절차를 진행하지 않았다면 최소한 사전통지 및 의견제출의 기회를 부여해야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그런데 이러한 절차마저 모두 생략하였다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마을 주민들이 반대하자 대화하고 설득하기 위해서 공사를 단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일만 한 상태에서 임의로 중지하였으므로 공공의 안전을 위하여 긴급한 처분을 하여야 할 상황도 아니었다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따라서 사전통지절차나 의견제출절차를 거치지 아니한 점은 위법하여 취소사유에 해당한다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소결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위와 같이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 규정한 중요한 절차들을 제대로 지키지 아니한바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처분은 취소되어야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국민의 행정참여를 도모함으로써 행정의 공정성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투명성 및 신뢰성을 확보하고 국민의 권익을 보호한다는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의 목적 및 의견진술절차 제도의 취지 등을 고려할 때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위와 같은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을 위반한 처분은 반드시 취소되어야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1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결어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헌법상 법치주의는 행정분야에서는 법치행정으로 구현된다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법률이 정한 요건에 따라 그 요건이 구비가 되면 인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허가를 내주고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취소사유나 중지사유가 발생하면 이에 따라 취소하면 법치행정이 구현된다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편법이나 행정편의주의로 인하여 법치행정이 왜곡되어서는 아니 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이러한 차원에서 대법원은 허가를 위한 적법 요건을 갖추었음에도 마을주민들의 반대민원이 있다는 사유만으로 건축허가신청을 반려한 처분은 위법하다고 명백히 판시한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사건은 마을 주민들이 태양광발전소 설치를 반대하고 시청에서 데모를 할 것 같은 위세를 보이면서 시장면담을 요청하고 국장면담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시장면담이 거행된 후 곧바로 중지처분이 나오게 된 것으로서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 주민들의 반대민원이 있다는 사유만으로 적법하게 허가를 받아 적법하게 공사를 진행한 청구인에게 중지처분을 내리는 것은 아무런 근거법령 없이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이행조건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근거법령 없이 임의로 내려진 것으로서 무효이고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적법한 근거 법령이 될 수 없음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취해진 것으로서 무효 또는 취소사유에 해당한다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이상과 같은 이유로 심판청구취지와 같이 이 사건 처분이 취소되기를 바란다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0"/>
        <w:tabs/>
        <w:wordWrap w:val="0"/>
        <w:snapToGrid w:val="1"/>
        <w:spacing w:before="200" w:after="0" w:line="288" w:lineRule="auto"/>
        <w:ind w:left="540" w:right="0" w:hanging="540"/>
        <w:jc w:val="both"/>
        <w:textAlignment w:val="baseline"/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【</w:t>
      </w: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보충서면 </w:t>
      </w: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】</w:t>
      </w:r>
    </w:p>
    <w:p>
      <w:pPr>
        <w:pStyle w:val="21"/>
        <w:tabs>
          <w:tab w:val="left" w:pos="200"/>
        </w:tabs>
        <w:wordWrap w:val="0"/>
        <w:snapToGrid w:val="0"/>
        <w:spacing w:before="200" w:after="0" w:line="288" w:lineRule="auto"/>
        <w:ind w:left="561" w:right="0" w:hanging="321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5)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주민들의 민원 내용 등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아무런 내용도 사전에 통보받지 못한 채 공사중지처분을 받게 되었기 때문에 처분 이후에 피청구인에게 정보공개를 요청하여 주민들이 어떤 내용의 민원을 제기하였는지 확인을 구하였고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간단하게나마 그 요지를 사후에 통보받았다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주민들의 민원내용은 주민들의 동의가 최우선적인 허가조건임에도 불구하고 착공 때까지도 허가사실을 몰랐다는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개발업자 농단에 맞추어 허가권을 남발하였다는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주민동의의 대표성을 인정하는 법적근거 제시를 요구하고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현장여론을 살피지 않은 행정처리로 주민피해 묵인하고 개발행위허가 실적을 채웠다는 점이다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또한 태양광을 설치하면 주민건강 및 생활환경을 위협하고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주민재산권을 침해하고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마을공동체 붕괴가 일어난다는 추상적인 문제제기에 불과하다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주민들의 민원은 청구인이 태양광발전소를 설치함에 있어 준수해야 할 준수사항을 지키지 않았다는 등의 구체적인 내용은 없었으며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주민들이 사는 곳에 태양광발전소가 설치되는 자체를 반대한다는 내용이다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주민들의 주장은 주민들의 동의 없이 내 준 피청구인의 허가는 위법하니 취소해달라는 내용이다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그러나 청구인은 태양광발전사업 허가에 필요한 절차를 받아 적법하게 허가를 받았는바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주민들이 자신들의 동의 없이 허가를 낸 것이 위법하다는 주장은 아무런 근거가 없는 주장이므로 부당하며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앞서 제시한 대법원 판례에도 정면으로 반한다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주민들의 주장대로라면 허가는 허가요건을 구비하였느냐의 여부가 아니라 지역 주민들의 동의 여부에 좌우되는 것이어서 법치행정의 원칙은 와해되고 자의적으로 허가여부가 결정되어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부당하다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따라서 주민들의 요구에 따라 행해진 이 사건 처분도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부당하다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0"/>
        <w:tabs/>
        <w:wordWrap w:val="0"/>
        <w:snapToGrid w:val="1"/>
        <w:spacing w:before="200" w:after="0" w:line="288" w:lineRule="auto"/>
        <w:ind w:left="540" w:right="0" w:hanging="540"/>
        <w:jc w:val="both"/>
        <w:textAlignment w:val="baseline"/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【</w:t>
      </w: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보충서면 </w:t>
      </w: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2</w:t>
      </w: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】</w:t>
      </w:r>
    </w:p>
    <w:p>
      <w:pPr>
        <w:pStyle w:val="21"/>
        <w:tabs>
          <w:tab w:val="left" w:pos="200"/>
        </w:tabs>
        <w:wordWrap w:val="0"/>
        <w:snapToGrid w:val="0"/>
        <w:spacing w:before="200" w:after="0" w:line="288" w:lineRule="auto"/>
        <w:ind w:left="561" w:right="0" w:hanging="321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6) 2018. 10. 27.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자 개발위원회 회의록 및 동의서 제출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2018. 6. 4.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피청구인으로부터 발전사업허가를 받았고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2019. 2. 1.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개발행위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농지전용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허가를 받았다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청구인이 위 개발행위허가 신청을 준비할 당시에 피청구인으로부터 마을 개발위원회의 동의서를 구비하면 좋겠다고 하여 청구인은 마을 이장에게 사정을 설명하고 동의를 요청하였다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9"/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이에 따라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리 개발위원회는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2018. 10. 27.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개최되었고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이장을 비롯한 개발위원 전원이 동의하여 회의록을 작성하고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동의서를 작성하여 청구인에게 교부해주었으며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청구인이 이를 피청구인에게 제출하였다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동의서 내용을 보면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개발위원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10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인은 이장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노인회장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새마을지도자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부녀회장 등 마을을 대표하는 자나 동네 유지들로 구성되어 있는 것을 알 수 있다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.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개발위원회의 동의가 개발행위허가를 위한 법정요건은 아니다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다만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피청구인이 개발행위 허가 절차의 원만한 진행을 위해 요구하는 것으로 이해하고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개발위원회에 정식으로 동의를 요청하여 동의서를 받은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이로써 청구인은 피청구인이 임의적으로 요청한 것까지 모두 갖추고 개발행위허가를 받은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또한 청구인은 위 동의서 제출을 준비하는 김에 발전소 부지 근처에 사시는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세대 주민한테도 사안을 설명하고 임의로 동의서를 받아 추가로 제출하였다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그럼에도 불구하고 마을에서는 몇 몇 분이 나중에 태양광발전에 관한 악의적인 소문을 퍼뜨려 마을 사람들로 하여금 헛된 걱정과 근심에 쌓이게 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동요시켜 반대 여론을 만들어 다시 분쟁을 야기한 것에 불과하다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1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결어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이미 법적 요건을 갖추고 적법한 절차에 따라 태양광발전허가를 받았고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이후 개발행위허가를 받았으며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주식회사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◎◎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과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억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6,280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만 원을 계약금액으로 하는 태양광발전소 설치계약을 체결하였고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착수금과 중도금으로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8,580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만 원을 이미 지급하였다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이제 와서 마을사람들이 부화뇌동하여 태양광발전소 설치 자체를 반대하고 있다는 이유만으로 이 사건 발전허가를 취소하거나 취소와 같은 효력의 공사중지처분을 내리는 것은 법치주의 또는 법치행정의 원칙에 어긋나는 것이고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또 위법하다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소위 말하는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떼법을 쓰는  것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을 받아주는 것은 그간 쌓아온 법치행정의 원칙을 완전히 형해화시키는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공사중지처분을 취소하여 법을 바르게 세우고 청구인의 억울하게 피해를 입지 않도록 하여 주기 바란다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8"/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나</w:t>
      </w: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피청구인 주장</w:t>
      </w:r>
    </w:p>
    <w:p>
      <w:pPr>
        <w:pStyle w:val="21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처분의 경위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2018. 3. 29.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 발전사업업체인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㈜◎◎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과 공사대금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억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6280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만원에 태양광발전소 설치사업에 관한 공사계약을 체결하고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피청구인으로부터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2018. 6. 4.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발전사업 허가를 받고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2019. 2. 1.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개발행위허가를 받아서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2019. 6. 1.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허가지에 장비를 들여 공사를 하는 중 마을주민 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형을 비롯한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여명이 반대를 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이후 청구인의 노력에도 반대하는 사람들이 나쁜 얘기들을 퍼뜨리면서 급기야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년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월 초순경에 피청구인에게 태양광사업발전허가를 취소해 달라는 반대민원을 제기하며 피청구인과의 면담을 요청하였다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마을주민들의 집단민원을 제기하고 농성할 기세를 보이자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전기사업법에 의한 발전사업 허가 당시 허가조건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호에서 발전소 설치 전에 지역주민 의견을 충분히 수렴 주민의견을 최우선적으로 반영하여 민원해소토록 허가조건을 부여하였으니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 주민들이 주장하는 조망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주변토지이용 저해 등 다수 주민의견 해소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를 이유로 마을주민 의견해소 시까지 공사를 중지하라는 명령을 내렸는데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이러한 처분이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부당하다며 행정심판을 청구하였다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1"/>
        <w:tabs>
          <w:tab w:val="left" w:pos="200"/>
        </w:tabs>
        <w:wordWrap w:val="0"/>
        <w:snapToGrid w:val="0"/>
        <w:spacing w:before="200" w:after="0" w:line="288" w:lineRule="auto"/>
        <w:ind w:left="573" w:right="0" w:hanging="333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처분의 적법성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발전사업 허가증에 첨부된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 따라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발전소 설치 전 반드시 지역주민의 의견을 충분히 수렴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주민의견을 최우선적으로 반영하여 민원해소토록 하여야 하는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허가조건을 부여하였는바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집단 반대에 따른 마을 주민들과의 원만한 협의를 하도록 공사 중지한 행정행위는 정당하다고 할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1"/>
        <w:tabs>
          <w:tab w:val="left" w:pos="200"/>
        </w:tabs>
        <w:wordWrap w:val="0"/>
        <w:snapToGrid w:val="0"/>
        <w:spacing w:before="200" w:after="0" w:line="288" w:lineRule="auto"/>
        <w:ind w:left="561" w:right="0" w:hanging="321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3)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결어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개발행위허가지 공사 중지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와 관련하여 절차상의 하자라 할 수 있으나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피청구인이 다수의 마을주민들 의견을 수용하여 공사중지 처분한 사항이 신뢰보호의 원칙에 위배되지 않으므로 청구인의 주장은 이유 없다고 할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0"/>
        <w:tabs/>
        <w:wordWrap w:val="0"/>
        <w:snapToGrid w:val="1"/>
        <w:spacing w:before="200" w:after="0" w:line="288" w:lineRule="auto"/>
        <w:ind w:left="540" w:right="0" w:hanging="540"/>
        <w:jc w:val="both"/>
        <w:textAlignment w:val="baseline"/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【</w:t>
      </w: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보충서면</w:t>
      </w:r>
      <w:r>
        <w:rPr>
          <w:rFonts w:ascii="휴먼명조" w:eastAsia="휴먼명조"/>
          <w:color w:val="000000"/>
          <w:spacing w:val="0"/>
          <w:w w:val="100"/>
          <w:position w:val="0"/>
          <w:sz w:val="24"/>
          <w:lang/>
        </w:rPr>
        <w:t xml:space="preserve">】</w:t>
      </w:r>
    </w:p>
    <w:p>
      <w:pPr>
        <w:pStyle w:val="21"/>
        <w:tabs>
          <w:tab w:val="left" w:pos="200"/>
        </w:tabs>
        <w:wordWrap w:val="0"/>
        <w:snapToGrid w:val="0"/>
        <w:spacing w:before="200" w:after="0" w:line="288" w:lineRule="auto"/>
        <w:ind w:left="561" w:right="0" w:hanging="321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주민들의 민원내용 등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청구인이 아무런 민원내용도 사전에 통보받지 못한 채 공사 중지 처분을 받았고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피청구인에게 공개정보를 요청하여 주민들이 어떤 내용의 민원을 제기하였는지 확인을 구하였고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간단하게나마 그 요지를 사후에 통보받았다는 주장에 대하여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2019. 7. 2.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청구인의 부친에게 다수의 주민들이 태양광 설치를 반대하고 있음을 유선으로 통보하고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7. 3. 13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시경에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시청에서 만나 주민반대하고 있음을 정식으로 알려주었으며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7. 8.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마을주민과 피청구인과의 면담이 계획되어 있음 또한 알려준 바 있는 등 마을주민들이 집단민원을 제기하는 등 사태의 심각성을 알려주었다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그럼에도 불구하고 청구인은 사전에 아무런 내용을 사전에 통보받지 못했다고 주장하고 있으므로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부분 청구인의 주장은 사실과 다르다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6"/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</w:pPr>
      <w:r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  <w:t xml:space="preserve">이 사건 처분의 위법</w:t>
      </w:r>
      <w:r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  <w:t xml:space="preserve">·</w:t>
      </w:r>
      <w:r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  <w:t xml:space="preserve">부당 여부</w:t>
      </w:r>
    </w:p>
    <w:p>
      <w:pPr>
        <w:pStyle w:val="18"/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가</w:t>
      </w: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관계법령</w:t>
      </w:r>
    </w:p>
    <w:p>
      <w:pPr>
        <w:pStyle w:val="24"/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【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행정절차법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】</w:t>
      </w:r>
    </w:p>
    <w:p>
      <w:pPr>
        <w:pStyle w:val="25"/>
        <w:tabs>
          <w:tab w:val="left" w:pos="400"/>
        </w:tabs>
        <w:wordWrap w:val="0"/>
        <w:snapToGrid w:val="0"/>
        <w:spacing w:before="200" w:after="0" w:line="288" w:lineRule="auto"/>
        <w:ind w:left="198" w:right="0" w:hanging="198"/>
        <w:jc w:val="both"/>
        <w:textAlignment w:val="baseline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21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조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(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처분의 사전 통지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)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①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행정청은 당사자에게 의무를 부과하거나 권익을 제한하는 처분을 하는 경우에는 미리 다음 각 호의 사항을 당사자등에게 통지하여야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처분의 제목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당사자의 성명 또는 명칭과 주소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3.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처분하려는 원인이 되는 사실과 처분의 내용 및 법적 근거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4.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3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호에 대하여 의견을 제출할 수 있다는 뜻과 의견을 제출하지 아니하는 경우의 처리방법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5.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의견제출기관의 명칭과 주소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6.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의견제출기한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7.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그 밖에 필요한 사항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②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행정청은 청문을 하려면 청문이 시작되는 날부터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10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일 전까지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 각 호의 사항을 당사자등에게 통지하여야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이 경우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4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호부터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6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호까지의 사항은 청문 주재자의 소속ㆍ직위 및 성명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청문의 일시 및 장소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청문에 응하지 아니하는 경우의 처리방법 등 청문에 필요한 사항으로 갈음한다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③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6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호에 따른 기한은 의견제출에 필요한 상당한 기간을 고려하여 정하여야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④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다음 각 호의 어느 하나에 해당하는 경우에는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항에 따른 통지를 하지 아니할 수 있다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공공의 안전 또는 복리를 위하여 긴급히 처분을 할 필요가 있는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법령등에서 요구된 자격이 없거나 없어지게 되면 반드시 일정한 처분을 하여야 하는 경우에 그 자격이 없거나 없어지게 된 사실이 법원의 재판 등에 의하여 객관적으로 증명된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3.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해당 처분의 성질상 의견청취가 현저히 곤란하거나 명백히 불필요하다고 인정될 만한 상당한 이유가 있는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⑤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처분의 전제가 되는 사실이 법원의 재판 등에 의하여 객관적으로 증명된 경우 등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4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항에 따른 사전 통지를 하지 아니할 수 있는 구체적인 사항은 대통령령으로 정한다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⑥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4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항에 따라 사전 통지를 하지 아니하는 경우 행정청은 처분을 할 때 당사자등에게 통지를 하지 아니한 사유를 알려야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다만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신속한 처분이 필요한 경우에는 처분 후 그 사유를 알릴 수 있다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 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⑦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6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항에 따라 당사자등에게 알리는 경우에는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24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조를 준용한다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 </w:t>
      </w:r>
    </w:p>
    <w:p>
      <w:pPr>
        <w:pStyle w:val="25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22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조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(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의견청취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)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①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행정청이 처분을 할 때 다음 각 호의 어느 하나에 해당하는 경우에는 청문을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다른 법령등에서 청문을 하도록 규정하고 있는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행정청이 필요하다고 인정하는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3.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다음 각 목의 처분 시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조제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6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호에 따른 의견제출기한 내에 당사자등의 신청이 있는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 가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인허가 등의 취소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 나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신분ㆍ자격의 박탈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 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법인이나 조합 등의 설립허가의 취소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②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행정청이 처분을 할 때 다음 각 호의 어느 하나에 해당하는 경우에는 공청회를 개최한다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다른 법령등에서 공청회를 개최하도록 규정하고 있는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해당 처분의 영향이 광범위하여 널리 의견을 수렴할 필요가 있다고 행정청이 인정하는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③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행정청이 당사자에게 의무를 부과하거나 권익을 제한하는 처분을 할 때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 또는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항의 경우 외에는 당사자등에게 의견제출의 기회를 주어야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④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항부터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3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항까지의 규정에도 불구하고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조제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4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 각 호의 어느 하나에 해당하는 경우와 당사자가 의견진술의 기회를 포기한다는 뜻을 명백히 표시한 경우에는 의견청취를 하지 아니할 수 있다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⑤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행정청은 청문ㆍ공청회 또는 의견제출을 거쳤을 때에는 신속히 처분하여 해당 처분이 지연되지 아니하도록 하여야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⑥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행정청은 처분 후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년 이내에 당사자등이 요청하는 경우에는 청문ㆍ공청회 또는 의견제출을 위하여 제출받은 서류나 그 밖의 물건을 반환하여야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5"/>
        <w:tabs>
          <w:tab w:val="left" w:pos="400"/>
        </w:tabs>
        <w:wordWrap w:val="0"/>
        <w:snapToGrid w:val="0"/>
        <w:spacing w:before="200" w:after="0" w:line="288" w:lineRule="auto"/>
        <w:ind w:left="198" w:right="0" w:hanging="198"/>
        <w:jc w:val="both"/>
        <w:textAlignment w:val="baseline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23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조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(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처분의 이유 제시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)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①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행정청은 처분을 할 때에는 다음 각 호의 어느 하나에 해당하는 경우를 제외하고는 당사자에게 그 근거와 이유를 제시하여야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신청 내용을 모두 그대로 인정하는 처분인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단순ㆍ반복적인 처분 또는 경미한 처분으로서 당사자가 그 이유를 명백히 알 수 있는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3.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긴급히 처분을 할 필요가 있는 경우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②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행정청은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1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항제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2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호 및 제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3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호의 경우에 처분 후 당사자가 요청하는 경우에는 그 근거와 이유를 제시하여야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5"/>
        <w:tabs>
          <w:tab w:val="left" w:pos="400"/>
        </w:tabs>
        <w:wordWrap w:val="0"/>
        <w:snapToGrid w:val="0"/>
        <w:spacing w:before="200" w:after="0" w:line="288" w:lineRule="auto"/>
        <w:ind w:left="198" w:right="0" w:hanging="198"/>
        <w:jc w:val="both"/>
        <w:textAlignment w:val="baseline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24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조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(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처분의 방식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)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①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행정청이 처분을 할 때에는 다른 법령등에 특별한 규정이 있는 경우를 제외하고는 문서로 하여야 하며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전자문서로 하는 경우에는 당사자등의 동의가 있어야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다만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신속히 처리할 필요가 있거나 사안이 경미한 경우에는 말 또는 그 밖의 방법으로 할 수 있다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이 경우 당사자가 요청하면 지체 없이 처분에 관한 문서를 주어야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6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②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처분을 하는 문서에는 그 처분 행정청과 담당자의 소속ㆍ성명 및 연락처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(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전화번호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팩스번호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전자우편주소 등을 말한다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)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를 적어야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25"/>
        <w:tabs>
          <w:tab w:val="left" w:pos="400"/>
        </w:tabs>
        <w:wordWrap w:val="0"/>
        <w:snapToGrid w:val="0"/>
        <w:spacing w:before="200" w:after="0" w:line="288" w:lineRule="auto"/>
        <w:ind w:left="198" w:right="0" w:hanging="198"/>
        <w:jc w:val="both"/>
        <w:textAlignment w:val="baseline"/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</w:pP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제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26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조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(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고지</w:t>
      </w:r>
      <w:r>
        <w:rPr>
          <w:rFonts w:ascii="휴먼명조" w:eastAsia="휴먼명조"/>
          <w:b w:val="1"/>
          <w:bCs w:val="1"/>
          <w:color w:val="000000"/>
          <w:spacing w:val="-11"/>
          <w:w w:val="95"/>
          <w:position w:val="0"/>
          <w:sz w:val="22"/>
          <w:lang/>
        </w:rPr>
        <w:t xml:space="preserve">)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행정청이 처분을 할 때에는 당사자에게 그 처분에 관하여 행정심판 및 행정소송을 제기할 수 있는지 여부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그 밖에 불복을 할 수 있는지 여부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청구절차 및 청구기간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, 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그 밖에 필요한 사항을 알려야 한다</w:t>
      </w:r>
      <w:r>
        <w:rPr>
          <w:rFonts w:ascii="휴먼명조" w:eastAsia="휴먼명조"/>
          <w:color w:val="000000"/>
          <w:spacing w:val="-11"/>
          <w:w w:val="95"/>
          <w:position w:val="0"/>
          <w:sz w:val="22"/>
          <w:lang/>
        </w:rPr>
        <w:t xml:space="preserve">.</w:t>
      </w:r>
    </w:p>
    <w:p>
      <w:pPr>
        <w:pStyle w:val="18"/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나</w:t>
      </w: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b w:val="1"/>
          <w:bCs w:val="1"/>
          <w:color w:val="000000"/>
          <w:spacing w:val="-12"/>
          <w:w w:val="95"/>
          <w:position w:val="0"/>
          <w:sz w:val="24"/>
          <w:lang/>
        </w:rPr>
        <w:t xml:space="preserve">판  단</w:t>
      </w:r>
    </w:p>
    <w:p>
      <w:pPr>
        <w:pStyle w:val="21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인정사실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청구서 및 답변서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공사계약서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공사현장 사진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민원요청에 대한 회신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주민 진정서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처분서 등에 의하면 다음과 같은 사실이 인정된다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2"/>
        <w:tabs/>
        <w:wordWrap w:val="0"/>
        <w:snapToGrid w:val="0"/>
        <w:spacing w:before="200" w:after="0" w:line="288" w:lineRule="auto"/>
        <w:ind w:left="795" w:right="0" w:hanging="435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시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 태양광발전사업을 하기 위하여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2018. 6. 4.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설비용량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99KW,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공급전압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380V,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주파수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60Hz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의 사업규모로 전기발전사업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허가를 받았는데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발전사업 허가조건의 주요 내용은 아래와 같다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tbl>
      <w:tblPr>
        <w:tblOverlap w:val="never"/>
        <w:tblW w:w="8846" w:type="dxa"/>
        <w:jc w:val="left"/>
        <w:tblInd w:w="119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CellMar>
          <w:top w:w="28" w:type="dxa"/>
          <w:left w:w="102" w:type="dxa"/>
          <w:bottom w:w="28" w:type="dxa"/>
          <w:right w:w="102" w:type="dxa"/>
        </w:tblCellMar>
      </w:tblPr>
      <w:tr>
        <w:trPr>
          <w:cantSplit w:val="0"/>
          <w:trHeight w:val="4822" w:hRule="atLeast"/>
        </w:trPr>
        <w:tc>
          <w:tcPr>
            <w:tcW w:w="88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3"/>
                <w:w w:val="95"/>
                <w:position w:val="0"/>
                <w:sz w:val="26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3"/>
                <w:w w:val="95"/>
                <w:position w:val="0"/>
                <w:sz w:val="26"/>
                <w:lang/>
              </w:rPr>
              <w:t xml:space="preserve">허 가 조 건</w:t>
            </w:r>
          </w:p>
          <w:p>
            <w:pPr>
              <w:pStyle w:val="0"/>
              <w:numPr>
                <w:ilvl w:val="0"/>
                <w:numId w:val="1"/>
              </w:numPr>
              <w:tabs/>
              <w:wordWrap w:val="0"/>
              <w:snapToGrid w:val="1"/>
              <w:spacing w:before="0" w:after="0" w:line="288" w:lineRule="auto"/>
              <w:ind w:left="0" w:right="0" w:firstLine="0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전기사업법에 의한 제반 의무사항 및 관련법규를 충실히 준수하고 발전설비는 바람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적설하중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및 구조하중 등에 견딜 수 있도록 설치하시기 바랍니다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.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2.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전기사업법 준비기간은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36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개월로 지정된 준비기간 이내에 사업개시가 힘들 경우 사업의 준비기간이 끝나기 전에 연기 신청하시기 바랍니다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.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※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지정된 사업 준비기간에 전기설비의 설치 및 사업을 시작하지 아니한 경우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｢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전기사업법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｣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제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12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조에 의거 허가취소에 해당됨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3.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전기사업법 이외 다른 법령에 저촉되는 경우에는 사전에 관계 법령에 의한 별도의 조치를 취한 후 사업을 시행하여야 합니다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.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4.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발전소 설치 전에 반드시 지역주민의 의견을 충분히 수렴 주민의견을 최우선적으로 반영하여 민원해소토록 하여야 하며 동 사업으로 인한 민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·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형사상의 문제 등을 처리하여야 합니다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.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5.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위 사항 및 관계법류를 위반하거나 새로운 공익장애 발생 시는 전기사업법 제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12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조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(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사업허가 취소 등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)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규정에 의거 허가가 취소될 수 있습니다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.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끝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.</w:t>
            </w:r>
          </w:p>
        </w:tc>
      </w:tr>
    </w:tbl>
    <w:p>
      <w:pPr>
        <w:pStyle w:val="22"/>
        <w:tabs/>
        <w:wordWrap w:val="0"/>
        <w:snapToGrid w:val="0"/>
        <w:spacing w:before="200" w:after="0" w:line="288" w:lineRule="auto"/>
        <w:ind w:left="822" w:right="0" w:hanging="462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r>
    </w:p>
    <w:tbl>
      <w:tblPr>
        <w:tblOverlap w:val="never"/>
        <w:tblW w:w="8846" w:type="dxa"/>
        <w:jc w:val="left"/>
        <w:tblInd w:w="82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CellMar>
          <w:top w:w="28" w:type="dxa"/>
          <w:left w:w="102" w:type="dxa"/>
          <w:bottom w:w="28" w:type="dxa"/>
          <w:right w:w="102" w:type="dxa"/>
        </w:tblCellMar>
      </w:tblPr>
      <w:tr>
        <w:trPr>
          <w:cantSplit w:val="0"/>
          <w:trHeight w:val="4382" w:hRule="atLeast"/>
        </w:trPr>
        <w:tc>
          <w:tcPr>
            <w:tcW w:w="88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0"/>
              <w:tabs/>
              <w:wordWrap w:val="1"/>
              <w:snapToGrid w:val="1"/>
              <w:spacing w:before="0" w:after="0" w:line="288" w:lineRule="auto"/>
              <w:ind w:left="0" w:right="0" w:firstLine="0"/>
              <w:jc w:val="center"/>
              <w:textAlignment w:val="baseline"/>
              <w:rPr>
                <w:rFonts w:ascii="휴먼명조" w:eastAsia="휴먼명조"/>
                <w:b w:val="1"/>
                <w:bCs w:val="1"/>
                <w:color w:val="000000"/>
                <w:spacing w:val="-13"/>
                <w:w w:val="95"/>
                <w:position w:val="0"/>
                <w:sz w:val="26"/>
                <w:lang/>
              </w:rPr>
            </w:pPr>
            <w:r>
              <w:rPr>
                <w:rFonts w:ascii="휴먼명조" w:eastAsia="휴먼명조"/>
                <w:b w:val="1"/>
                <w:bCs w:val="1"/>
                <w:color w:val="000000"/>
                <w:spacing w:val="-13"/>
                <w:w w:val="95"/>
                <w:position w:val="0"/>
                <w:sz w:val="26"/>
                <w:lang/>
              </w:rPr>
              <w:t xml:space="preserve">개발행위 관련 허가조건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4.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공사로 인해 도로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농경지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측구 등 각종 시설 파손시 원인자가 즉시 원상복구하여야 하며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공사 중 주변에 피해가 없도록 피해방지시설을 설치하고 시공하시기 바랍니다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.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아울러 기타 주변지역에 토사유출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배수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환경우염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소음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교통소통 등의 피해가 없도록 방지시설을 설치하고 민원발생시 사업자가 사업자 부담으로 해결 후 사업을 시행하여야 합니다</w:t>
            </w:r>
            <w:r>
              <w:rPr>
                <w:rFonts w:ascii="휴먼명조" w:eastAsia="휴먼명조"/>
                <w:color w:val="000000"/>
                <w:spacing w:val="-15"/>
                <w:w w:val="95"/>
                <w:position w:val="0"/>
                <w:sz w:val="22"/>
                <w:lang/>
              </w:rPr>
              <w:t xml:space="preserve">.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5.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다음 각 호 사항 위반 시 허가 취소 또는 공사중지 조치를 받게 됩니다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.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○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허가 받은 자가 이 법에 의한 명령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처분을 위반한 자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○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부정한 방법으로 이 법에 의한 허가 등을 받은 자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○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개발행위관련 허가조건을 준수하지 않고 공사를 착공하였을 경우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○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허가사항 변경시 사전 변경 허가를 득하지 아니하고 수허가자 임의로 사업계획을 변경하였을 경우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276" w:right="0" w:hanging="276"/>
              <w:jc w:val="both"/>
              <w:textAlignment w:val="baseline"/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○ </w:t>
            </w:r>
            <w:r>
              <w:rPr>
                <w:rFonts w:ascii="휴먼명조" w:eastAsia="휴먼명조"/>
                <w:color w:val="000000"/>
                <w:spacing w:val="-11"/>
                <w:w w:val="95"/>
                <w:position w:val="0"/>
                <w:sz w:val="22"/>
                <w:lang/>
              </w:rPr>
              <w:t xml:space="preserve">개발행위허가에 따른 관련법 협의조건을 이행하지 않을 경우</w:t>
            </w:r>
          </w:p>
        </w:tc>
      </w:tr>
    </w:tbl>
    <w:p>
      <w:pPr>
        <w:pStyle w:val="22"/>
        <w:tabs/>
        <w:wordWrap w:val="0"/>
        <w:snapToGrid w:val="0"/>
        <w:spacing w:before="200" w:after="0" w:line="288" w:lineRule="auto"/>
        <w:ind w:left="822" w:right="0" w:hanging="462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2019. 2. 1.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토지 인근 주민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17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명의 동의서를 받아서 태양광발전시설 부지조성의 목적으로 개발행위 허가를 받았으며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허가조건의 주요 내용 중 공사중지 조치에 관한 내용은 아래와 같다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2"/>
        <w:tabs/>
        <w:wordWrap w:val="0"/>
        <w:snapToGrid w:val="0"/>
        <w:spacing w:before="200" w:after="0" w:line="288" w:lineRule="auto"/>
        <w:ind w:left="822" w:right="0" w:hanging="462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r>
    </w:p>
    <w:p>
      <w:pPr>
        <w:pStyle w:val="22"/>
        <w:tabs/>
        <w:wordWrap w:val="0"/>
        <w:snapToGrid w:val="0"/>
        <w:spacing w:before="200" w:after="0" w:line="288" w:lineRule="auto"/>
        <w:ind w:left="822" w:right="0" w:hanging="462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2018. 3. 29.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태양광발전설치업을 하는 청구외 주식회사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◎◎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과 공사대금을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억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6,280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만 원으로 하는 태양광발전소설치계약을 체결하여 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6. 11.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까지 착수금 및 중도금을 지급하였고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◎◎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2019. 6. 18.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허가지에 포크레인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대를 들여 토지 평탄작업을 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그런데 청구외 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을 비롯한 인근 주민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10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여명이 공사 착공 당일 청구인에게 태양광발전소 설치의 여러 문제점을 걱정하면서 질의하여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다음날인 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6. 19.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&amp;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풍력 발전 바로 알기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책자를 제시하면서 설명하였는데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리 이장이 청구인에게 주민과 협의가 될 때까지는 잠시 공사를 중지해 달라고 요구하여 곧바로 공사를 중지하였다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2"/>
        <w:tabs/>
        <w:wordWrap w:val="0"/>
        <w:snapToGrid w:val="0"/>
        <w:spacing w:before="200" w:after="0" w:line="288" w:lineRule="auto"/>
        <w:ind w:left="800" w:right="0" w:hanging="440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2019. 7. 2.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○○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외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178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명으로부터 이 사건 토지 지상의 태양광발전시설에 관한 집단민원을 접수하였는데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민원의 주된 기재내용은 아래와 같다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tbl>
      <w:tblPr>
        <w:tblOverlap w:val="never"/>
        <w:tblW w:w="8846" w:type="dxa"/>
        <w:jc w:val="left"/>
        <w:tblInd w:w="120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</w:tblBorders>
        <w:tblCellMar>
          <w:top w:w="28" w:type="dxa"/>
          <w:left w:w="102" w:type="dxa"/>
          <w:bottom w:w="28" w:type="dxa"/>
          <w:right w:w="102" w:type="dxa"/>
        </w:tblCellMar>
      </w:tblPr>
      <w:tr>
        <w:trPr>
          <w:cantSplit w:val="0"/>
          <w:trHeight w:val="4079" w:hRule="atLeast"/>
        </w:trPr>
        <w:tc>
          <w:tcPr>
            <w:tcW w:w="88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vAlign w:val="center"/>
          </w:tcPr>
          <w:p>
            <w:pPr>
              <w:pStyle w:val="0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3.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주된 민원 내용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 가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.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소극적 행정으로 주민동의 없는 개발행위허가 자행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 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►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주민동의가 최우선적인 허가조건이나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착공 때까지도 허가사실 몰랐다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.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 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►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개발업자 농단에 맞추어 허가권 남발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 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►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주민동의의 대표성을 인정하는 법적근거 제시</w:t>
            </w:r>
          </w:p>
          <w:p>
            <w:pPr>
              <w:pStyle w:val="0"/>
              <w:tabs/>
              <w:wordWrap w:val="0"/>
              <w:snapToGrid w:val="1"/>
              <w:spacing w:before="0" w:after="0" w:line="288" w:lineRule="auto"/>
              <w:ind w:left="476" w:right="0" w:hanging="476"/>
              <w:jc w:val="both"/>
              <w:textAlignment w:val="baseline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 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►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현장 여론 살피지 않는 행정처리로 주민피해 묵인하고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,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개발행위 허가 실적 채우는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○○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시 규탄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 나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.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마을 내 태양광발전시설 설치 문제점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 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►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주민건강 및 생활환경 위협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 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►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주민재산권 침해</w:t>
            </w:r>
          </w:p>
          <w:p>
            <w:pPr>
              <w:pStyle w:val="0"/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</w:pP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 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► </w:t>
            </w:r>
            <w:r>
              <w:rPr>
                <w:rFonts w:ascii="휴먼명조" w:eastAsia="휴먼명조"/>
                <w:color w:val="000000"/>
                <w:spacing w:val="0"/>
                <w:w w:val="100"/>
                <w:position w:val="0"/>
                <w:sz w:val="22"/>
                <w:lang/>
              </w:rPr>
              <w:t xml:space="preserve">마을공동체 붕괴 등</w:t>
            </w:r>
          </w:p>
        </w:tc>
      </w:tr>
    </w:tbl>
    <w:p>
      <w:pPr>
        <w:pStyle w:val="22"/>
        <w:tabs/>
        <w:wordWrap w:val="0"/>
        <w:snapToGrid w:val="0"/>
        <w:spacing w:before="200" w:after="0" w:line="288" w:lineRule="auto"/>
        <w:ind w:left="811" w:right="0" w:hanging="451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r>
    </w:p>
    <w:p>
      <w:pPr>
        <w:pStyle w:val="22"/>
        <w:tabs/>
        <w:wordWrap w:val="0"/>
        <w:snapToGrid w:val="0"/>
        <w:spacing w:before="200" w:after="0" w:line="288" w:lineRule="auto"/>
        <w:ind w:left="811" w:right="0" w:hanging="451"/>
        <w:jc w:val="both"/>
        <w:textAlignment w:val="baseline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태양광발전시설 설치반대 민원인들은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2019. 7. 8.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 시장실을 항의방문하여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 소속 담당 국장과 면담을 하였고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 소속 담당공무원 팀장이 같은 해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7. 9.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청구인과 면담하여 구두로 공사중지명령에 대한 처분사전통지를 하였다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2"/>
        <w:tabs/>
        <w:wordWrap w:val="0"/>
        <w:snapToGrid w:val="0"/>
        <w:spacing w:before="200" w:after="0" w:line="288" w:lineRule="auto"/>
        <w:ind w:left="823" w:right="0" w:hanging="463"/>
        <w:jc w:val="both"/>
        <w:textAlignment w:val="baseline"/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바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피청구인은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2019. 7. 10.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전기사업법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｣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에 의한 발전사업 허가 당시 허가조건과 관련하여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4.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발전소 설치 전에 반드시 지역주민의 의견을 충분히 수렴 주민의견을 최우선적으로 반영하여 민원해소토록 하여야 하며 동 사업으로 인한 민형사상의 문제 등을 처리하여야 합니다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.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라는 제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호를 위반하였음을 사유로 공사중지기간을 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마을 주민의견 해소 시까지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로 정하여 개발행위 허가지 공사중지명령을 하였다</w:t>
      </w:r>
      <w:r>
        <w:rPr>
          <w:rFonts w:ascii="휴먼명조" w:eastAsia="휴먼명조"/>
          <w:color w:val="000000"/>
          <w:spacing w:val="-14"/>
          <w:w w:val="95"/>
          <w:position w:val="0"/>
          <w:sz w:val="24"/>
          <w:lang/>
        </w:rPr>
        <w:t xml:space="preserve">.</w:t>
      </w:r>
    </w:p>
    <w:p>
      <w:pPr>
        <w:pStyle w:val="21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 및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항에 의하면 행정청은 당사자에게 의무를 부과하거나 권익을 제한하는 처분을 하는 경우에는 미리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처분의 제목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2.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당사자의 성명 또는 명칭과 주소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3.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처분하려는 원인이 되는 사실과 처분의 내용 및 법적 근거 등을 당사자등에게 통지하여야 하나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공공의 안전 또는 복리를 위하여 긴급히 처분을 할 필요가 있는 경우 등 일정한 경우에는 위 사항에 관한 통지를 하지 아니할 수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그리고 같은 법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23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항에 의하면 행정청은 처분을 할 때에는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신청 내용을 모두 그대로 인정하는 처분인 경우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2.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단순ㆍ반복적인 처분 또는 경미한 처분으로서 당사자가 그 이유를 명백히 알 수 있는 경우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3.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긴급히 처분을 할 필요가 있는 경우의 어느 하나에 해당하는 경우를 제외하고는 당사자에게 그 근거와 이유를 제시하여야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1"/>
        <w:rPr>
          <w:rFonts w:ascii="맑은 고딕" w:eastAsia="맑은 고딕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3)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청구인은 이 사건 태양광발전사업 허가 시 부과된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 자체가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무효이고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가사 위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호가 일부 유효라고 가정하더라도 청구인은 위 허가조건을 위반한 사유가 없으므로 이 사건 처분은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부당하며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아울러 이 사건 처분에는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에서 규정한 처분의 근거와 이유제시의무 및 사전 통지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의견제출절차 등을 위반한 잘못이 있으므로 위법하여 취소하여야 한다는 취지로 주장한다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이에 대하여 피청구인은 발전사업 허가증에 첨부된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 따라 이 사건 태양광발전사업에 집단 반대하는 마을 주민들과의 원만한 협의를 하도록 그 공사를 중지시킨 것은 정당하며 신뢰보호 원칙에 위배되지 않는다는 취지로 항변한다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9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처분의 내용은 청구인이 발전사업허가 등을 득하여 공사를 시작하려고 하던 중 조망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경관저해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주변 토지이용 저해 등 마을 주민들의 집단민원이 제기됨에 따라 피청구인이 그 공사중지를 통보한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이에 따라 이 사건의 쟁점은 이 사건 처분이 이루어지는 과정에서 절차상 위법이 있었는지 여부 및 피청구인이 정당한 사유 없이 재량권을 일탈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남용하였는지 여부라 할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먼저 이 사건 처분에 절차상 위법이 있었는지 여부를 살펴본다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행정절차법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 및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23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조제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항제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3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 따라 공공의 안전 또는 복리를 위하여 긴급히 처분을 할 필요가 있는 경우에는 예외적으로 처분 사전통지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처분의 근거와 이유제시 등 행정절차가 면제될 수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피청구인은 마을 조망 및 경관의 저해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주변 토지이용 저해 등에 관한 집단민원이 발생함에 따라 마을 주민들의 생활환경 피해 등 공공의 안전과 복리가 침해되는 것을 방지하기 위하여 이 사건 처분을 한 것으로 보이는데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태양광발전사업에 대한 공사가 계속 진행될 경우 추후 분쟁의 범위가 확대되거나 마을 주민 등에게 회복할 수 없는 피해가 발생할 수도 있는바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처분을 긴급히 통보할 필요성이 있었던 것으로 보인다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가사 청구인을 상대로 처분의 사전통지 및 의견제출 절차를 밟았다고 하더라도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공사 중지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의 필요성이 있는 이상 피청구인이 이 사건 처분과 다른 내용의 처분을 하였을 것으로 보이지는 아니하므로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처분을 취소하여야 할 만큼 중대한 절차상의 흠은 없다 할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태양광발전사업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호의 무효 여부를 살펴본다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청구인에게 부과된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호는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발전소 설치 전 이 사건 토지에 인접한 마을 주민의견을 최우선적으로 반영하여 민원 해소할 것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을 주된 취지로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이는 청구인에게 이 사건 태양광발전사업과 관련하여 발생할 수 있는 민원의 해결을 요구하는 작위 또는 수인의무를 명하는 부담에 해당한다 할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수익적 행정처분에 있어서는 법령에 특별한 근거규정이 없다고 하더라도 그 부관으로서 부담을 붙일 수 있고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그와 같은 부담은 행정청이 행정처분을 하면서 일방적으로 부가할 수도 있지만 부담을 부가하기 이전에 상대방과 협의하여 부담의 내용을 협약의 형식으로 미리 정한 다음 행정처분을 하면서 이를 부가할 수도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대법원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2009. 2. 12.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선고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2005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65500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판결 참조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또한 하자 있는 행정처분이 당연무효가 되기 위하여는 그 하자가 법규의 중요한 부분을 위반한 중대한 것으로서 객관적으로 명백한 것이어야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태양광발전사업 허가는 피청구인의 재량행위에 해당한다 할 것이고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위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호의 내용이 관련 법령을 명시적으로 위반하였거나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또는 청구인이 수인할 수 없는 과도한 의무를 부과한 것이라는 특별한 사정은 보이지 아니한다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결국 위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호가 위법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무효라는 청구인의 주장은 이유가 없다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2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처분에 재량권 일탈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남용이 있었는지 여부를 살펴본다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환경의 훼손이나 오염을 발생시킬 우려가 있는 개발행위에 대한 행정청의 허가와 관련하여 재량권의 일탈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남용 여부를 심사할 때에는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해당지역 주민들의 토지이용실태와 생활환경 등 구체적 지역 상황과 상반되는 이익을 가진 이해관계자들 사이의 권익 균형 및 환경권의 보호에 관한 각종 규정의 입법 취지 등을 종합하여 신중하게 판단하여야 하며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장래에 발생할 불확실한 상황과 파급효과에 대한 예측이 필요한 요건에 관한 행정청의 재량적 판단은 그 내용이 현저히 합리성을 결여하였다거나 상반되는 이익이나 가치를 대비해 볼 때 형평이나 비례의 원칙에 뚜렷하게 배치되는 등의 사정이 없는 한 폭넓게 존중될 필요가 있는 점 등을 함께 고려하여야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대법원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2017. 3. 15.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선고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2016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55490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판결 등 참조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).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위 인정사실 및 제출된 증거자료 등을 종합하여 살피건대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①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｢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국토의 계획 및 이용에 관한 법률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｣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이하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국토계획법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이라 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은 일정한 개발행위의 허가에 대하여 행정기관의 장으로 하여금 개발행위허가를 신중하게 결정하도록 함으로써 난개발을 방지하고자 하는 데에 주된 취지가 있는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②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태양광발전사업 허가 시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발전소 설치 전에 반드시 지역주민의 의견을 충분히 수렴 주민의견을 최우선적으로 반영하여 민원해소토록 하여야 하며 동 사업으로 인한 민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형사상의 문제 등을 처리하여야 합니다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라고 표시하고 있는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③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2019. 2. 1.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자 태양광발전시설 부지조성을 위한 개발행위 관련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호에도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민원발생시 사업자가 사업자 부담으로 해결 후 사업을 시행하여야 합니다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”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라고 표시되어 있는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④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공사진행 중 민원이 발생할 경우 개발행위에 불이익한 처분이 가하여질 수 있음을 청구인이 충분히 인식하고 있었다고 보이는 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⑤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현재 이 사건 토지 주변 마을 주민들이 태양광발전시설을 결사반대하며 집단민원을 제기하고 있는 점 등을 인정할 수 있다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청구인이 마을 주민들로 하여금 개발행위 반대의 집단민원을 야기하게 한 것은 이 사건 태양광발전사업 허가시 부과된 허가조건 제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4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호에 위반한 것으로 봄이 상당하다 할 것이고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피청구인이 개발행위 관련 허가조건상의 공사 관련 조항에 의거하여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‘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마을 주민의견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민원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해소 시까지 농지전용 공사의 중지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’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를 통보한 것에 위법이 있다고 할 수 없다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(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대법원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1998. 6. 12.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선고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98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두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6180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판결 참조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).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결국 민원이 발생하지 않는 것 내지 발생된 민원을 해소할 것을 전제로 그 개발행위허가가 이루어진 것으로 보이고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인근의 마을 주민들의 집단민원은 허가조건에 적시된 청구인의 민원처리의무를 발생시키는 중대한 사정변경에 해당한다고 할 것이다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  </w:t>
      </w:r>
    </w:p>
    <w:p>
      <w:pPr>
        <w:pStyle w:val="23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따라서 이 사건 태양광발전시설의 설치를 위한 농지훼손 등으로 자연환경이나 마을 경관을 해칠 우려가 상당하고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그 토지 개발행위에 따른 인근 주민의 생활환경 피해 발생 우려를 사전에 방지하기 위하여 피청구인이 긴급히 공사중지를 명령하고 민원해결을 통보한 것은 불가피한 조치에 해당한다고 보이는바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이 사건 처분이 재량권을 일탈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·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남용하여 위법하므로 취소하여 달라는 청구인의 주장은 이유가 없다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p>
      <w:pPr>
        <w:pStyle w:val="16"/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</w:pPr>
      <w:r>
        <w:rPr>
          <w:rFonts w:ascii="휴먼명조" w:eastAsia="휴먼명조"/>
          <w:b w:val="1"/>
          <w:bCs w:val="1"/>
          <w:color w:val="000000"/>
          <w:spacing w:val="-13"/>
          <w:w w:val="95"/>
          <w:position w:val="0"/>
          <w:sz w:val="26"/>
          <w:lang/>
        </w:rPr>
        <w:t xml:space="preserve">결  론 </w:t>
      </w:r>
    </w:p>
    <w:p>
      <w:pPr>
        <w:pStyle w:val="17"/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</w:pPr>
      <w:r>
        <w:rPr>
          <w:rFonts w:ascii="휴먼명조" w:eastAsia="휴먼명조"/>
          <w:color w:val="000000"/>
          <w:spacing w:val="-21"/>
          <w:w w:val="95"/>
          <w:position w:val="0"/>
          <w:sz w:val="24"/>
          <w:lang/>
        </w:rPr>
        <w:t xml:space="preserve">그렇다면</w:t>
      </w:r>
      <w:r>
        <w:rPr>
          <w:rFonts w:ascii="휴먼명조" w:eastAsia="휴먼명조"/>
          <w:color w:val="000000"/>
          <w:spacing w:val="-21"/>
          <w:w w:val="95"/>
          <w:position w:val="0"/>
          <w:sz w:val="24"/>
          <w:lang/>
        </w:rPr>
        <w:t xml:space="preserve">, </w:t>
      </w:r>
      <w:r>
        <w:rPr>
          <w:rFonts w:ascii="휴먼명조" w:eastAsia="휴먼명조"/>
          <w:color w:val="000000"/>
          <w:spacing w:val="-21"/>
          <w:w w:val="95"/>
          <w:position w:val="0"/>
          <w:sz w:val="24"/>
          <w:lang/>
        </w:rPr>
        <w:t xml:space="preserve">청구인의 주장을 인정할 수 없으므로 청구인의 청구를 받아들이지 않기로 하여 주문과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 같이 재결한다</w:t>
      </w:r>
      <w:r>
        <w:rPr>
          <w:rFonts w:ascii="휴먼명조" w:eastAsia="휴먼명조"/>
          <w:color w:val="000000"/>
          <w:spacing w:val="-12"/>
          <w:w w:val="95"/>
          <w:position w:val="0"/>
          <w:sz w:val="24"/>
          <w:lang/>
        </w:rPr>
        <w:t xml:space="preserve">.</w:t>
      </w:r>
    </w:p>
    <w:sectPr>
      <w:footerReference w:type="default" r:id="rId11"/>
      <w:pgSz w:w="11905" w:h="16837" w:orient="portrait"/>
      <w:pgMar w:top="1984" w:right="1133" w:bottom="1701" w:left="1133" w:header="850" w:footer="567" w:gutter="0"/>
      <w:cols/>
    </w:sectPr>
  </w:body>
</w:document>
</file>

<file path=word/endnotes.xml><?xml version="1.0" encoding="utf-8"?>
<w:endnote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/>
</file>

<file path=word/fontTable.xml><?xml version="1.0" encoding="utf-8"?>
<w:fonts xmlns:w14="http://schemas.microsoft.com/office/word/2010/wordml" xmlns:mc="http://schemas.openxmlformats.org/markup-compatibility/2006" xmlns:r="http://schemas.openxmlformats.org/officeDocument/2006/relationships" xmlns:w="http://schemas.openxmlformats.org/wordprocessingml/2006/main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>
  <w:p>
    <w:pPr>
      <w:pStyle w:val="0"/>
      <w:tabs/>
      <w:wordWrap w:val="1"/>
      <w:snapToGrid w:val="1"/>
      <w:spacing w:before="0" w:after="0" w:line="288" w:lineRule="auto"/>
      <w:ind w:left="0" w:right="0" w:firstLine="0"/>
      <w:jc w:val="center"/>
      <w:textAlignment w:val="baseline"/>
      <w:rPr>
        <w:rFonts w:ascii="함초롬바탕" w:eastAsia="함초롬바탕"/>
        <w:color w:val="000000"/>
        <w:spacing w:val="0"/>
        <w:w w:val="100"/>
        <w:position w:val="0"/>
        <w:sz w:val="22"/>
        <w:lang/>
      </w:rPr>
    </w:pPr>
    <w:r>
      <w:pgNum/>
    </w:r>
    <w:r>
      <w:rPr>
        <w:rFonts w:ascii="함초롬바탕" w:eastAsia="함초롬바탕"/>
        <w:color w:val="000000"/>
        <w:spacing w:val="0"/>
        <w:w w:val="100"/>
        <w:position w:val="0"/>
        <w:sz w:val="22"/>
        <w:lang/>
      </w:rPr>
      <w:t xml:space="preserve">/</w:t>
    </w:r>
    <w:r>
      <w:fldChar w:fldCharType="begin"/>
    </w:r>
    <w:r>
      <w:rPr>
        <w:rFonts w:ascii="함초롬바탕" w:eastAsia="함초롬바탕"/>
        <w:color w:val="000000"/>
        <w:spacing w:val="0"/>
        <w:w w:val="100"/>
        <w:position w:val="0"/>
        <w:sz w:val="22"/>
        <w:lang/>
      </w:rPr>
      <w:instrText xml:space="preserve"> NUMPAGES  \* Arabic</w:instrText>
    </w:r>
    <w:r>
      <w:fldChar w:fldCharType="separate"/>
    </w:r>
    <w:r>
      <w:fldChar w:fldCharType="end"/>
    </w:r>
  </w:p>
</w:ftr>
</file>

<file path=word/footnotes.xml><?xml version="1.0" encoding="utf-8"?>
<w:footnote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/>
</file>

<file path=word/numbering.xml><?xml version="1.0" encoding="utf-8"?>
<w:numbering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>
  <w:abstractNum w:abstractNumId="1">
    <w:multiLevelType w:val="hybridMultilevel"/>
    <w:lvl w:ilvl="0">
      <w:start w:val="1"/>
      <w:numFmt w:val="decimal"/>
      <w:suff w:val="nothing"/>
      <w:lvlText w:val="%1."/>
      <w:lvlJc w:val="left"/>
      <w:pPr>
        <w:ind w:left="0" w:hanging="50"/>
      </w:pPr>
    </w:lvl>
    <w:lvl w:ilvl="1">
      <w:start w:val="1"/>
      <w:numFmt w:val="ganada"/>
      <w:suff w:val="nothing"/>
      <w:lvlText w:val="%2."/>
      <w:lvlJc w:val="left"/>
      <w:pPr>
        <w:ind w:left="0" w:hanging="50"/>
      </w:pPr>
    </w:lvl>
    <w:lvl w:ilvl="2">
      <w:start w:val="1"/>
      <w:numFmt w:val="decimal"/>
      <w:suff w:val="nothing"/>
      <w:lvlText w:val="%3)"/>
      <w:lvlJc w:val="left"/>
      <w:pPr>
        <w:ind w:left="0" w:hanging="50"/>
      </w:pPr>
    </w:lvl>
    <w:lvl w:ilvl="3">
      <w:start w:val="1"/>
      <w:numFmt w:val="ganada"/>
      <w:suff w:val="nothing"/>
      <w:lvlText w:val="%4)"/>
      <w:lvlJc w:val="left"/>
      <w:pPr>
        <w:ind w:left="0" w:hanging="50"/>
      </w:pPr>
    </w:lvl>
    <w:lvl w:ilvl="4">
      <w:start w:val="1"/>
      <w:numFmt w:val="decimal"/>
      <w:suff w:val="nothing"/>
      <w:lvlText w:val="(%5)"/>
      <w:lvlJc w:val="left"/>
      <w:pPr>
        <w:ind w:left="0" w:hanging="50"/>
      </w:pPr>
    </w:lvl>
    <w:lvl w:ilvl="5">
      <w:start w:val="1"/>
      <w:numFmt w:val="ganada"/>
      <w:suff w:val="nothing"/>
      <w:lvlText w:val="(%6)"/>
      <w:lvlJc w:val="left"/>
      <w:pPr>
        <w:ind w:left="0" w:hanging="50"/>
      </w:pPr>
    </w:lvl>
    <w:lvl w:ilvl="6">
      <w:start w:val="1"/>
      <w:numFmt w:val="decimalEnclosedCircle"/>
      <w:suff w:val="nothing"/>
      <w:lvlText w:val="%7"/>
      <w:lvlJc w:val="left"/>
      <w:pPr>
        <w:ind w:left="0" w:hanging="50"/>
      </w:pPr>
    </w:lvl>
  </w:abstractNum>
  <w:abstractNum w:abstractNumId="2">
    <w:multiLevelType w:val="hybridMultilevel"/>
    <w:lvl w:ilvl="0">
      <w:start w:val="1"/>
      <w:numFmt w:val="decimal"/>
      <w:suff w:val="nothing"/>
      <w:lvlText w:val="%1."/>
      <w:lvlJc w:val="left"/>
      <w:pPr>
        <w:ind w:left="0" w:hanging="50"/>
      </w:pPr>
    </w:lvl>
    <w:lvl w:ilvl="1">
      <w:start w:val="1"/>
      <w:numFmt w:val="ganada"/>
      <w:suff w:val="nothing"/>
      <w:lvlText w:val="%2."/>
      <w:lvlJc w:val="left"/>
      <w:pPr>
        <w:ind w:left="0" w:hanging="50"/>
      </w:pPr>
    </w:lvl>
    <w:lvl w:ilvl="2">
      <w:start w:val="1"/>
      <w:numFmt w:val="decimal"/>
      <w:suff w:val="nothing"/>
      <w:lvlText w:val="%3)"/>
      <w:lvlJc w:val="left"/>
      <w:pPr>
        <w:ind w:left="0" w:hanging="50"/>
      </w:pPr>
    </w:lvl>
    <w:lvl w:ilvl="3">
      <w:start w:val="1"/>
      <w:numFmt w:val="ganada"/>
      <w:suff w:val="nothing"/>
      <w:lvlText w:val="%4)"/>
      <w:lvlJc w:val="left"/>
      <w:pPr>
        <w:ind w:left="0" w:hanging="50"/>
      </w:pPr>
    </w:lvl>
    <w:lvl w:ilvl="4">
      <w:start w:val="1"/>
      <w:numFmt w:val="decimal"/>
      <w:suff w:val="nothing"/>
      <w:lvlText w:val="%N"/>
      <w:lvlJc w:val="left"/>
      <w:pPr>
        <w:ind w:left="0" w:hanging="50"/>
      </w:pPr>
    </w:lvl>
    <w:lvl w:ilvl="5">
      <w:start w:val="1"/>
      <w:numFmt w:val="ganada"/>
      <w:suff w:val="nothing"/>
      <w:lvlText w:val="(%6)"/>
      <w:lvlJc w:val="left"/>
      <w:pPr>
        <w:ind w:left="0" w:hanging="50"/>
      </w:pPr>
    </w:lvl>
    <w:lvl w:ilvl="6">
      <w:start w:val="1"/>
      <w:numFmt w:val="decimalEnclosedCircle"/>
      <w:suff w:val="nothing"/>
      <w:lvlText w:val="%7"/>
      <w:lvlJc w:val="left"/>
      <w:pPr>
        <w:ind w:left="0" w:hanging="50"/>
      </w:pPr>
    </w:lvl>
  </w:abstractNum>
  <w:abstractNum w:abstractNumId="3">
    <w:multiLevelType w:val="multilevel"/>
    <w:lvl w:ilvl="0">
      <w:start w:val="1"/>
      <w:numFmt w:val="decimal"/>
      <w:suff w:val="nothing"/>
      <w:lvlText w:val="%1."/>
      <w:lvlJc w:val="left"/>
    </w:lvl>
    <w:lvl w:ilvl="1">
      <w:numFmt w:val="decimal"/>
      <w:suff w:val="nothing"/>
      <w:lvlText w:val="%1.%2."/>
      <w:lvlJc w:val="left"/>
    </w:lvl>
    <w:lvl w:ilvl="2">
      <w:numFmt w:val="decimal"/>
      <w:suff w:val="nothing"/>
      <w:lvlText w:val="%1.%2.%3."/>
      <w:lvlJc w:val="left"/>
    </w:lvl>
    <w:lvl w:ilvl="3">
      <w:numFmt w:val="decimal"/>
      <w:suff w:val="nothing"/>
      <w:lvlText w:val="%1.%2.%3.%4."/>
      <w:lvlJc w:val="left"/>
    </w:lvl>
    <w:lvl w:ilvl="4">
      <w:numFmt w:val="decimal"/>
      <w:suff w:val="nothing"/>
      <w:lvlText w:val="%1.%2.%3.%4.%5."/>
      <w:lvlJc w:val="left"/>
    </w:lvl>
    <w:lvl w:ilvl="5">
      <w:numFmt w:val="decimal"/>
      <w:suff w:val="nothing"/>
      <w:lvlText w:val="%1.%2.%3.%4.%5.%6."/>
      <w:lvlJc w:val="left"/>
    </w:lvl>
    <w:lvl w:ilvl="6">
      <w:numFmt w:val="decimal"/>
      <w:suff w:val="nothing"/>
      <w:lvlText w:val="%1.%2.%3.%4.%5.%6.%7."/>
      <w:lvlJc w:val="left"/>
    </w:lvl>
  </w:abstractNum>
  <w:abstractNum w:abstractNumId="4">
    <w:multiLevelType w:val="singleLevel"/>
    <w:lvl w:ilvl="0">
      <w:start w:val="1"/>
      <w:numFmt w:val="bullet"/>
      <w:suff w:val="nothing"/>
      <w:lvlText w:val="●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>
  <w:displayBackgroundShape w:val="1"/>
</w:settings>
</file>

<file path=word/styles.xml><?xml version="1.0" encoding="utf-8"?>
<w:styles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mc:Ignorable="w14 wp14">
  <w:docDefaults>
    <w:rPrDefault>
      <w:rPr>
        <w:rFonts w:ascii="함초롬바탕" w:eastAsia="함초롬바탕"/>
        <w:color w:val="000000"/>
        <w:spacing w:val="0"/>
        <w:w w:val="100"/>
        <w:position w:val="0"/>
        <w:sz w:val="20"/>
        <w:lang/>
      </w:rPr>
    </w:rPrDefault>
    <w:pPrDefault>
      <w:pPr>
        <w:tabs/>
        <w:wordWrap w:val="0"/>
        <w:snapToGrid w:val="1"/>
        <w:spacing w:before="0" w:after="0" w:line="288" w:lineRule="auto"/>
        <w:ind w:left="0" w:right="0" w:firstLine="0"/>
        <w:jc w:val="both"/>
        <w:textAlignment w:val="baseline"/>
      </w:pPr>
    </w:pPrDefault>
  </w:docDefaults>
  <w:latentStyles w:defLockedState="1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uiPriority="10" w:semiHidden="0" w:unhideWhenUsed="0" w:qFormat="1"/>
    <w:lsdException w:name="Subtitle" w:uiPriority="1"/>
    <w:lsdException w:name="Strong" w:uiPriority="11" w:semiHidden="0" w:unhideWhenUsed="0" w:qFormat="1"/>
    <w:lsdException w:name="Emphasis" w:uiPriority="22" w:semiHidden="0" w:unhideWhenUsed="0" w:qFormat="1"/>
    <w:lsdException w:name="Table Grid" w:uiPriority="20" w:semiHidden="0" w:unhideWhenUsed="0" w:qFormat="1"/>
    <w:lsdException w:name="Placeholder Text" w:uiPriority="59" w:semiHidden="0" w:unhideWhenUsed="0"/>
    <w:lsdException w:name="No Spacing" w:unhideWhenUsed="0"/>
    <w:lsdException w:name="Light Shading" w:uiPriority="1" w:semiHidden="0" w:unhideWhenUsed="0" w:qFormat="1"/>
    <w:lsdException w:name="Light List" w:uiPriority="60" w:semiHidden="0" w:unhideWhenUsed="0"/>
    <w:lsdException w:name="Light Grid" w:uiPriority="61" w:semiHidden="0" w:unhideWhenUsed="0"/>
    <w:lsdException w:name="Medium Shading 1" w:uiPriority="62" w:semiHidden="0" w:unhideWhenUsed="0"/>
    <w:lsdException w:name="Medium Shading 2" w:uiPriority="63" w:semiHidden="0" w:unhideWhenUsed="0"/>
    <w:lsdException w:name="Medium List 1" w:uiPriority="64" w:semiHidden="0" w:unhideWhenUsed="0"/>
    <w:lsdException w:name="Medium List 2" w:uiPriority="65" w:semiHidden="0" w:unhideWhenUsed="0"/>
    <w:lsdException w:name="Medium Grid 1" w:uiPriority="66" w:semiHidden="0" w:unhideWhenUsed="0"/>
    <w:lsdException w:name="Medium Grid 2" w:uiPriority="67" w:semiHidden="0" w:unhideWhenUsed="0"/>
    <w:lsdException w:name="Medium Grid 3" w:uiPriority="68" w:semiHidden="0" w:unhideWhenUsed="0"/>
    <w:lsdException w:name="Dark List" w:uiPriority="69" w:semiHidden="0" w:unhideWhenUsed="0"/>
    <w:lsdException w:name="Colorful Shading" w:uiPriority="70" w:semiHidden="0" w:unhideWhenUsed="0"/>
    <w:lsdException w:name="Colorful List" w:uiPriority="71" w:semiHidden="0" w:unhideWhenUsed="0"/>
    <w:lsdException w:name="Colorful Grid" w:uiPriority="72" w:semiHidden="0" w:unhideWhenUsed="0"/>
    <w:lsdException w:name="Light Shading Accent 1" w:uiPriority="73" w:semiHidden="0" w:unhideWhenUsed="0"/>
    <w:lsdException w:name="Light List Accent 1" w:uiPriority="60" w:semiHidden="0" w:unhideWhenUsed="0"/>
    <w:lsdException w:name="Light Grid Accent 1" w:uiPriority="61" w:semiHidden="0" w:unhideWhenUsed="0"/>
    <w:lsdException w:name="Medium Shading 1 Accent 1" w:uiPriority="62" w:semiHidden="0" w:unhideWhenUsed="0"/>
    <w:lsdException w:name="Medium Shading 2 Accent 1" w:uiPriority="63" w:semiHidden="0" w:unhideWhenUsed="0"/>
    <w:lsdException w:name="Medium List 1 Accent 1" w:uiPriority="64" w:semiHidden="0" w:unhideWhenUsed="0"/>
    <w:lsdException w:name="Revision" w:uiPriority="65" w:semiHidden="0" w:unhideWhenUsed="0"/>
    <w:lsdException w:name="List Paragraph" w:unhideWhenUsed="0"/>
    <w:lsdException w:name="Quote" w:uiPriority="34" w:semiHidden="0" w:unhideWhenUsed="0" w:qFormat="1"/>
    <w:lsdException w:name="Intense Quote" w:uiPriority="29" w:semiHidden="0" w:unhideWhenUsed="0" w:qFormat="1"/>
    <w:lsdException w:name="Medium List 2 Accent 1" w:uiPriority="30" w:semiHidden="0" w:unhideWhenUsed="0" w:qFormat="1"/>
    <w:lsdException w:name="Medium Grid 1 Accent 1" w:uiPriority="66" w:semiHidden="0" w:unhideWhenUsed="0"/>
    <w:lsdException w:name="Medium Grid 2 Accent 1" w:uiPriority="67" w:semiHidden="0" w:unhideWhenUsed="0"/>
    <w:lsdException w:name="Medium Grid 3 Accent 1" w:uiPriority="68" w:semiHidden="0" w:unhideWhenUsed="0"/>
    <w:lsdException w:name="Dark List Accent 1" w:uiPriority="69" w:semiHidden="0" w:unhideWhenUsed="0"/>
    <w:lsdException w:name="Colorful Shading Accent 1" w:uiPriority="70" w:semiHidden="0" w:unhideWhenUsed="0"/>
    <w:lsdException w:name="Colorful List Accent 1" w:uiPriority="71" w:semiHidden="0" w:unhideWhenUsed="0"/>
    <w:lsdException w:name="Colorful Grid Accent 1" w:uiPriority="72" w:semiHidden="0" w:unhideWhenUsed="0"/>
    <w:lsdException w:name="Light Shading Accent 2" w:uiPriority="73" w:semiHidden="0" w:unhideWhenUsed="0"/>
    <w:lsdException w:name="Light List Accent 2" w:uiPriority="60" w:semiHidden="0" w:unhideWhenUsed="0"/>
    <w:lsdException w:name="Light Grid Accent 2" w:uiPriority="61" w:semiHidden="0" w:unhideWhenUsed="0"/>
    <w:lsdException w:name="Medium Shading 1 Accent 2" w:uiPriority="62" w:semiHidden="0" w:unhideWhenUsed="0"/>
    <w:lsdException w:name="Medium Shading 2 Accent 2" w:uiPriority="63" w:semiHidden="0" w:unhideWhenUsed="0"/>
    <w:lsdException w:name="Medium List 1 Accent 2" w:uiPriority="64" w:semiHidden="0" w:unhideWhenUsed="0"/>
    <w:lsdException w:name="Medium List 2 Accent 2" w:uiPriority="65" w:semiHidden="0" w:unhideWhenUsed="0"/>
    <w:lsdException w:name="Medium Grid 1 Accent 2" w:uiPriority="66" w:semiHidden="0" w:unhideWhenUsed="0"/>
    <w:lsdException w:name="Medium Grid 2 Accent 2" w:uiPriority="67" w:semiHidden="0" w:unhideWhenUsed="0"/>
    <w:lsdException w:name="Medium Grid 3 Accent 2" w:uiPriority="68" w:semiHidden="0" w:unhideWhenUsed="0"/>
    <w:lsdException w:name="Dark List Accent 2" w:uiPriority="69" w:semiHidden="0" w:unhideWhenUsed="0"/>
    <w:lsdException w:name="Colorful Shading Accent 2" w:uiPriority="70" w:semiHidden="0" w:unhideWhenUsed="0"/>
    <w:lsdException w:name="Colorful List Accent 2" w:uiPriority="71" w:semiHidden="0" w:unhideWhenUsed="0"/>
    <w:lsdException w:name="Colorful Grid Accent 2" w:uiPriority="72" w:semiHidden="0" w:unhideWhenUsed="0"/>
    <w:lsdException w:name="Light Shading Accent 3" w:uiPriority="73" w:semiHidden="0" w:unhideWhenUsed="0"/>
    <w:lsdException w:name="Light List Accent 3" w:uiPriority="60" w:semiHidden="0" w:unhideWhenUsed="0"/>
    <w:lsdException w:name="Light Grid Accent 3" w:uiPriority="61" w:semiHidden="0" w:unhideWhenUsed="0"/>
    <w:lsdException w:name="Medium Shading 1 Accent 3" w:uiPriority="62" w:semiHidden="0" w:unhideWhenUsed="0"/>
    <w:lsdException w:name="Medium Shading 2 Accent 3" w:uiPriority="63" w:semiHidden="0" w:unhideWhenUsed="0"/>
    <w:lsdException w:name="Medium List 1 Accent 3" w:uiPriority="64" w:semiHidden="0" w:unhideWhenUsed="0"/>
    <w:lsdException w:name="Medium List 2 Accent 3" w:uiPriority="65" w:semiHidden="0" w:unhideWhenUsed="0"/>
    <w:lsdException w:name="Medium Grid 1 Accent 3" w:uiPriority="66" w:semiHidden="0" w:unhideWhenUsed="0"/>
    <w:lsdException w:name="Medium Grid 2 Accent 3" w:uiPriority="67" w:semiHidden="0" w:unhideWhenUsed="0"/>
    <w:lsdException w:name="Medium Grid 3 Accent 3" w:uiPriority="68" w:semiHidden="0" w:unhideWhenUsed="0"/>
    <w:lsdException w:name="Dark List Accent 3" w:uiPriority="69" w:semiHidden="0" w:unhideWhenUsed="0"/>
    <w:lsdException w:name="Colorful Shading Accent 3" w:uiPriority="70" w:semiHidden="0" w:unhideWhenUsed="0"/>
    <w:lsdException w:name="Colorful List Accent 3" w:uiPriority="71" w:semiHidden="0" w:unhideWhenUsed="0"/>
    <w:lsdException w:name="Colorful Grid Accent 3" w:uiPriority="72" w:semiHidden="0" w:unhideWhenUsed="0"/>
    <w:lsdException w:name="Light Shading Accent 4" w:uiPriority="73" w:semiHidden="0" w:unhideWhenUsed="0"/>
    <w:lsdException w:name="Light List Accent 4" w:uiPriority="60" w:semiHidden="0" w:unhideWhenUsed="0"/>
    <w:lsdException w:name="Light Grid Accent 4" w:uiPriority="61" w:semiHidden="0" w:unhideWhenUsed="0"/>
    <w:lsdException w:name="Medium Shading 1 Accent 4" w:uiPriority="62" w:semiHidden="0" w:unhideWhenUsed="0"/>
    <w:lsdException w:name="Medium Shading 2 Accent 4" w:uiPriority="63" w:semiHidden="0" w:unhideWhenUsed="0"/>
    <w:lsdException w:name="Medium List 1 Accent 4" w:uiPriority="64" w:semiHidden="0" w:unhideWhenUsed="0"/>
    <w:lsdException w:name="Medium List 2 Accent 4" w:uiPriority="65" w:semiHidden="0" w:unhideWhenUsed="0"/>
    <w:lsdException w:name="Medium Grid 1 Accent 4" w:uiPriority="66" w:semiHidden="0" w:unhideWhenUsed="0"/>
    <w:lsdException w:name="Medium Grid 2 Accent 4" w:uiPriority="67" w:semiHidden="0" w:unhideWhenUsed="0"/>
    <w:lsdException w:name="Medium Grid 3 Accent 4" w:uiPriority="68" w:semiHidden="0" w:unhideWhenUsed="0"/>
    <w:lsdException w:name="Dark List Accent 4" w:uiPriority="69" w:semiHidden="0" w:unhideWhenUsed="0"/>
    <w:lsdException w:name="Colorful Shading Accent 4" w:uiPriority="70" w:semiHidden="0" w:unhideWhenUsed="0"/>
    <w:lsdException w:name="Colorful List Accent 4" w:uiPriority="71" w:semiHidden="0" w:unhideWhenUsed="0"/>
    <w:lsdException w:name="Colorful Grid Accent 4" w:uiPriority="72" w:semiHidden="0" w:unhideWhenUsed="0"/>
    <w:lsdException w:name="Light Shading Accent 5" w:uiPriority="73" w:semiHidden="0" w:unhideWhenUsed="0"/>
    <w:lsdException w:name="Light List Accent 5" w:uiPriority="60" w:semiHidden="0" w:unhideWhenUsed="0"/>
    <w:lsdException w:name="Light Grid Accent 5" w:uiPriority="61" w:semiHidden="0" w:unhideWhenUsed="0"/>
    <w:lsdException w:name="Medium Shading 1 Accent 5" w:uiPriority="62" w:semiHidden="0" w:unhideWhenUsed="0"/>
    <w:lsdException w:name="Medium Shading 2 Accent 5" w:uiPriority="63" w:semiHidden="0" w:unhideWhenUsed="0"/>
    <w:lsdException w:name="Medium List 1 Accent 5" w:uiPriority="64" w:semiHidden="0" w:unhideWhenUsed="0"/>
    <w:lsdException w:name="Medium List 2 Accent 5" w:uiPriority="65" w:semiHidden="0" w:unhideWhenUsed="0"/>
    <w:lsdException w:name="Medium Grid 1 Accent 5" w:uiPriority="66" w:semiHidden="0" w:unhideWhenUsed="0"/>
    <w:lsdException w:name="Medium Grid 2 Accent 5" w:uiPriority="67" w:semiHidden="0" w:unhideWhenUsed="0"/>
    <w:lsdException w:name="Medium Grid 3 Accent 5" w:uiPriority="68" w:semiHidden="0" w:unhideWhenUsed="0"/>
    <w:lsdException w:name="Dark List Accent 5" w:uiPriority="69" w:semiHidden="0" w:unhideWhenUsed="0"/>
    <w:lsdException w:name="Colorful Shading Accent 5" w:uiPriority="70" w:semiHidden="0" w:unhideWhenUsed="0"/>
    <w:lsdException w:name="Colorful List Accent 5" w:uiPriority="71" w:semiHidden="0" w:unhideWhenUsed="0"/>
    <w:lsdException w:name="Colorful Grid Accent 5" w:uiPriority="72" w:semiHidden="0" w:unhideWhenUsed="0"/>
    <w:lsdException w:name="Light Shading Accent 6" w:uiPriority="73" w:semiHidden="0" w:unhideWhenUsed="0"/>
    <w:lsdException w:name="Light List Accent 6" w:uiPriority="60" w:semiHidden="0" w:unhideWhenUsed="0"/>
    <w:lsdException w:name="Light Grid Accent 6" w:uiPriority="61" w:semiHidden="0" w:unhideWhenUsed="0"/>
    <w:lsdException w:name="Medium Shading 1 Accent 6" w:uiPriority="62" w:semiHidden="0" w:unhideWhenUsed="0"/>
    <w:lsdException w:name="Medium Shading 2 Accent 6" w:uiPriority="63" w:semiHidden="0" w:unhideWhenUsed="0"/>
    <w:lsdException w:name="Medium List 1 Accent 6" w:uiPriority="64" w:semiHidden="0" w:unhideWhenUsed="0"/>
    <w:lsdException w:name="Medium List 2 Accent 6" w:uiPriority="65" w:semiHidden="0" w:unhideWhenUsed="0"/>
    <w:lsdException w:name="Medium Grid 1 Accent 6" w:uiPriority="66" w:semiHidden="0" w:unhideWhenUsed="0"/>
    <w:lsdException w:name="Medium Grid 2 Accent 6" w:uiPriority="67" w:semiHidden="0" w:unhideWhenUsed="0"/>
    <w:lsdException w:name="Medium Grid 3 Accent 6" w:uiPriority="68" w:semiHidden="0" w:unhideWhenUsed="0"/>
    <w:lsdException w:name="Dark List Accent 6" w:uiPriority="69" w:semiHidden="0" w:unhideWhenUsed="0"/>
    <w:lsdException w:name="Colorful Shading Accent 6" w:uiPriority="70" w:semiHidden="0" w:unhideWhenUsed="0"/>
    <w:lsdException w:name="Colorful List Accent 6" w:uiPriority="71" w:semiHidden="0" w:unhideWhenUsed="0"/>
    <w:lsdException w:name="Colorful Grid Accent 6" w:uiPriority="72" w:semiHidden="0" w:unhideWhenUsed="0"/>
    <w:lsdException w:name="Subtle Emphasis" w:uiPriority="73" w:semiHidden="0" w:unhideWhenUsed="0"/>
    <w:lsdException w:name="Intense Emphasis" w:uiPriority="19" w:semiHidden="0" w:unhideWhenUsed="0" w:qFormat="1"/>
    <w:lsdException w:name="Subtle Reference" w:uiPriority="21" w:semiHidden="0" w:unhideWhenUsed="0" w:qFormat="1"/>
    <w:lsdException w:name="Intense Reference" w:uiPriority="31" w:semiHidden="0" w:unhideWhenUsed="0" w:qFormat="1"/>
    <w:lsdException w:name="Book Title" w:uiPriority="32" w:semiHidden="0" w:unhideWhenUsed="0" w:qFormat="1"/>
    <w:lsdException w:name="Bibliography" w:uiPriority="33" w:semiHidden="0" w:unhideWhenUsed="0" w:qFormat="1"/>
    <w:lsdException w:name="TOC Heading" w:uiPriority="37"/>
    <w:lsdException w:name="TOC Heading" w:uiPriority="39" w:qFormat="1"/>
  </w:latentStyles>
  <w:style w:type="paragraph" w:styleId="0">
    <w:name w:val="바탕글"/>
    <w:next w:val="0"/>
    <w:p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20"/>
      <w:lang/>
    </w:rPr>
  </w:style>
  <w:style w:type="paragraph" w:styleId="1">
    <w:name w:val="본문"/>
    <w:next w:val="1"/>
    <w:pPr>
      <w:tabs/>
      <w:wordWrap w:val="0"/>
      <w:snapToGrid w:val="1"/>
      <w:spacing w:before="0" w:after="0" w:line="288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20"/>
      <w:lang/>
    </w:rPr>
  </w:style>
  <w:style w:type="paragraph" w:styleId="2">
    <w:name w:val="개요 1"/>
    <w:next w:val="2"/>
    <w:pPr>
      <w:numPr>
        <w:ilvl w:val="0"/>
        <w:numId w:val="1"/>
      </w:numPr>
      <w:tabs/>
      <w:wordWrap w:val="0"/>
      <w:snapToGrid w:val="1"/>
      <w:spacing w:before="0" w:after="0" w:line="288" w:lineRule="auto"/>
      <w:ind w:left="200" w:right="0" w:firstLine="0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20"/>
      <w:lang/>
    </w:rPr>
  </w:style>
  <w:style w:type="paragraph" w:styleId="3">
    <w:name w:val="개요 2"/>
    <w:next w:val="3"/>
    <w:pPr>
      <w:numPr>
        <w:ilvl w:val="1"/>
        <w:numId w:val="1"/>
      </w:numPr>
      <w:tabs/>
      <w:wordWrap w:val="0"/>
      <w:snapToGrid w:val="1"/>
      <w:spacing w:before="0" w:after="0" w:line="288" w:lineRule="auto"/>
      <w:ind w:left="400" w:right="0" w:firstLine="0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20"/>
      <w:lang/>
    </w:rPr>
  </w:style>
  <w:style w:type="paragraph" w:styleId="4">
    <w:name w:val="개요 3"/>
    <w:next w:val="4"/>
    <w:pPr>
      <w:numPr>
        <w:ilvl w:val="2"/>
        <w:numId w:val="1"/>
      </w:numPr>
      <w:tabs/>
      <w:wordWrap w:val="0"/>
      <w:snapToGrid w:val="1"/>
      <w:spacing w:before="0" w:after="0" w:line="288" w:lineRule="auto"/>
      <w:ind w:left="600" w:right="0" w:firstLine="0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20"/>
      <w:lang/>
    </w:rPr>
  </w:style>
  <w:style w:type="paragraph" w:styleId="5">
    <w:name w:val="개요 4"/>
    <w:next w:val="5"/>
    <w:pPr>
      <w:numPr>
        <w:ilvl w:val="3"/>
        <w:numId w:val="1"/>
      </w:numPr>
      <w:tabs/>
      <w:wordWrap w:val="0"/>
      <w:snapToGrid w:val="1"/>
      <w:spacing w:before="0" w:after="0" w:line="288" w:lineRule="auto"/>
      <w:ind w:left="800" w:right="0" w:firstLine="0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20"/>
      <w:lang/>
    </w:rPr>
  </w:style>
  <w:style w:type="paragraph" w:styleId="6">
    <w:name w:val="개요 5"/>
    <w:next w:val="6"/>
    <w:pPr>
      <w:numPr>
        <w:ilvl w:val="4"/>
        <w:numId w:val="1"/>
      </w:numPr>
      <w:tabs/>
      <w:wordWrap w:val="0"/>
      <w:snapToGrid w:val="1"/>
      <w:spacing w:before="0" w:after="0" w:line="288" w:lineRule="auto"/>
      <w:ind w:left="1000" w:right="0" w:firstLine="0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20"/>
      <w:lang/>
    </w:rPr>
  </w:style>
  <w:style w:type="paragraph" w:styleId="7">
    <w:name w:val="개요 6"/>
    <w:next w:val="7"/>
    <w:pPr>
      <w:numPr>
        <w:ilvl w:val="5"/>
        <w:numId w:val="1"/>
      </w:numPr>
      <w:tabs/>
      <w:wordWrap w:val="0"/>
      <w:snapToGrid w:val="1"/>
      <w:spacing w:before="0" w:after="0" w:line="288" w:lineRule="auto"/>
      <w:ind w:left="1200" w:right="0" w:firstLine="0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20"/>
      <w:lang/>
    </w:rPr>
  </w:style>
  <w:style w:type="paragraph" w:styleId="8">
    <w:name w:val="개요 7"/>
    <w:next w:val="8"/>
    <w:pPr>
      <w:numPr>
        <w:ilvl w:val="6"/>
        <w:numId w:val="1"/>
      </w:numPr>
      <w:tabs/>
      <w:wordWrap w:val="0"/>
      <w:snapToGrid w:val="1"/>
      <w:spacing w:before="0" w:after="0" w:line="288" w:lineRule="auto"/>
      <w:ind w:left="1400" w:right="0" w:firstLine="0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20"/>
      <w:lang/>
    </w:rPr>
  </w:style>
  <w:style w:type="paragraph" w:styleId="9">
    <w:name w:val="쪽 번호"/>
    <w:next w:val="9"/>
    <w:p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pacing w:val="0"/>
      <w:w w:val="100"/>
      <w:position w:val="0"/>
      <w:sz w:val="20"/>
      <w:lang/>
    </w:rPr>
  </w:style>
  <w:style w:type="paragraph" w:styleId="10">
    <w:name w:val="머리말"/>
    <w:next w:val="10"/>
    <w:pPr>
      <w:tabs/>
      <w:wordWrap w:val="1"/>
      <w:snapToGrid w:val="1"/>
      <w:spacing w:before="0" w:after="0" w:line="27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pacing w:val="0"/>
      <w:w w:val="100"/>
      <w:position w:val="0"/>
      <w:sz w:val="18"/>
      <w:lang/>
    </w:rPr>
  </w:style>
  <w:style w:type="paragraph" w:styleId="11">
    <w:name w:val="각주"/>
    <w:next w:val="11"/>
    <w:pPr>
      <w:tabs/>
      <w:wordWrap w:val="0"/>
      <w:snapToGrid w:val="1"/>
      <w:spacing w:before="0" w:after="0" w:line="234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18"/>
      <w:lang/>
    </w:rPr>
  </w:style>
  <w:style w:type="paragraph" w:styleId="12">
    <w:name w:val="미주"/>
    <w:next w:val="12"/>
    <w:pPr>
      <w:tabs/>
      <w:wordWrap w:val="0"/>
      <w:snapToGrid w:val="1"/>
      <w:spacing w:before="0" w:after="0" w:line="234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pacing w:val="0"/>
      <w:w w:val="100"/>
      <w:position w:val="0"/>
      <w:sz w:val="18"/>
      <w:lang/>
    </w:rPr>
  </w:style>
  <w:style w:type="paragraph" w:styleId="13">
    <w:name w:val="메모"/>
    <w:next w:val="13"/>
    <w:pPr>
      <w:tabs/>
      <w:wordWrap w:val="1"/>
      <w:snapToGrid w:val="1"/>
      <w:spacing w:before="0" w:after="0" w:line="234" w:lineRule="auto"/>
      <w:ind w:left="0" w:right="0" w:firstLine="0"/>
      <w:jc w:val="left"/>
      <w:textAlignment w:val="baseline"/>
    </w:pPr>
    <w:rPr>
      <w:rFonts w:ascii="함초롬돋움" w:eastAsia="함초롬돋움"/>
      <w:color w:val="000000"/>
      <w:spacing w:val="-9"/>
      <w:w w:val="100"/>
      <w:position w:val="0"/>
      <w:sz w:val="18"/>
      <w:lang/>
    </w:rPr>
  </w:style>
  <w:style w:type="paragraph" w:styleId="14">
    <w:name w:val="심의번호"/>
    <w:next w:val="14"/>
    <w:pPr>
      <w:tabs/>
      <w:wordWrap w:val="0"/>
      <w:snapToGrid w:val="0"/>
      <w:spacing w:before="200" w:after="0" w:line="396" w:lineRule="auto"/>
      <w:ind w:left="0" w:right="0" w:firstLine="0"/>
      <w:jc w:val="left"/>
      <w:textAlignment w:val="baseline"/>
    </w:pPr>
    <w:rPr>
      <w:rFonts w:ascii="휴먼명조" w:eastAsia="휴먼명조"/>
      <w:b w:val="1"/>
      <w:bCs w:val="1"/>
      <w:color w:val="000000"/>
      <w:spacing w:val="-15"/>
      <w:w w:val="95"/>
      <w:position w:val="0"/>
      <w:sz w:val="30"/>
      <w:u w:val="single" w:color="000000"/>
      <w:lang/>
    </w:rPr>
  </w:style>
  <w:style w:type="paragraph" w:styleId="15">
    <w:name w:val="박스사건명등"/>
    <w:next w:val="15"/>
    <w:pPr>
      <w:tabs/>
      <w:wordWrap w:val="0"/>
      <w:snapToGrid w:val="1"/>
      <w:spacing w:before="0" w:after="0" w:line="288" w:lineRule="auto"/>
      <w:ind w:left="0" w:right="0" w:firstLine="0"/>
      <w:jc w:val="both"/>
      <w:textAlignment w:val="baseline"/>
    </w:pPr>
    <w:rPr>
      <w:rFonts w:ascii="휴먼명조" w:eastAsia="휴먼명조"/>
      <w:b w:val="1"/>
      <w:bCs w:val="1"/>
      <w:color w:val="000000"/>
      <w:spacing w:val="-14"/>
      <w:w w:val="95"/>
      <w:position w:val="0"/>
      <w:sz w:val="28"/>
      <w:lang/>
    </w:rPr>
  </w:style>
  <w:style w:type="paragraph" w:styleId="16">
    <w:name w:val="1."/>
    <w:next w:val="16"/>
    <w:pPr>
      <w:numPr>
        <w:ilvl w:val="0"/>
        <w:numId w:val="2"/>
      </w:numPr>
      <w:tabs/>
      <w:wordWrap w:val="0"/>
      <w:snapToGrid w:val="0"/>
      <w:spacing w:before="400" w:after="0" w:line="288" w:lineRule="auto"/>
      <w:ind w:left="0" w:right="0" w:firstLine="0"/>
      <w:jc w:val="both"/>
      <w:textAlignment w:val="baseline"/>
    </w:pPr>
    <w:rPr>
      <w:rFonts w:ascii="휴먼명조" w:eastAsia="휴먼명조"/>
      <w:b w:val="1"/>
      <w:bCs w:val="1"/>
      <w:color w:val="000000"/>
      <w:spacing w:val="-13"/>
      <w:w w:val="95"/>
      <w:position w:val="0"/>
      <w:sz w:val="26"/>
      <w:lang/>
    </w:rPr>
  </w:style>
  <w:style w:type="paragraph" w:styleId="17">
    <w:name w:val="청+인+결+13.5"/>
    <w:next w:val="17"/>
    <w:pPr>
      <w:tabs/>
      <w:wordWrap w:val="0"/>
      <w:snapToGrid w:val="0"/>
      <w:spacing w:before="200" w:after="0" w:line="288" w:lineRule="auto"/>
      <w:ind w:left="270" w:right="0" w:firstLine="0"/>
      <w:jc w:val="both"/>
      <w:textAlignment w:val="baseline"/>
    </w:pPr>
    <w:rPr>
      <w:rFonts w:ascii="휴먼명조" w:eastAsia="휴먼명조"/>
      <w:color w:val="000000"/>
      <w:spacing w:val="-12"/>
      <w:w w:val="95"/>
      <w:position w:val="0"/>
      <w:sz w:val="24"/>
      <w:lang/>
    </w:rPr>
  </w:style>
  <w:style w:type="paragraph" w:styleId="18">
    <w:name w:val="가."/>
    <w:next w:val="18"/>
    <w:pPr>
      <w:tabs>
        <w:tab w:val="left" w:pos="200"/>
      </w:tabs>
      <w:wordWrap w:val="0"/>
      <w:snapToGrid w:val="0"/>
      <w:spacing w:before="300" w:after="0" w:line="288" w:lineRule="auto"/>
      <w:ind w:left="682" w:right="0" w:hanging="562"/>
      <w:jc w:val="both"/>
      <w:textAlignment w:val="baseline"/>
    </w:pPr>
    <w:rPr>
      <w:rFonts w:ascii="휴먼명조" w:eastAsia="휴먼명조"/>
      <w:b w:val="1"/>
      <w:bCs w:val="1"/>
      <w:color w:val="000000"/>
      <w:spacing w:val="-12"/>
      <w:w w:val="95"/>
      <w:position w:val="0"/>
      <w:sz w:val="24"/>
      <w:lang/>
    </w:rPr>
  </w:style>
  <w:style w:type="paragraph" w:styleId="19">
    <w:name w:val="가. 1) + 27.5"/>
    <w:next w:val="19"/>
    <w:pPr>
      <w:tabs/>
      <w:wordWrap w:val="0"/>
      <w:snapToGrid w:val="0"/>
      <w:spacing w:before="200" w:after="0" w:line="288" w:lineRule="auto"/>
      <w:ind w:left="550" w:right="0" w:firstLine="0"/>
      <w:jc w:val="both"/>
      <w:textAlignment w:val="baseline"/>
    </w:pPr>
    <w:rPr>
      <w:rFonts w:ascii="휴먼명조" w:eastAsia="휴먼명조"/>
      <w:color w:val="000000"/>
      <w:spacing w:val="-12"/>
      <w:w w:val="95"/>
      <w:position w:val="0"/>
      <w:sz w:val="24"/>
      <w:lang/>
    </w:rPr>
  </w:style>
  <w:style w:type="paragraph" w:styleId="20">
    <w:name w:val="o 사건경위 동그"/>
    <w:next w:val="20"/>
    <w:pPr>
      <w:tabs/>
      <w:wordWrap w:val="0"/>
      <w:snapToGrid w:val="0"/>
      <w:spacing w:before="200" w:after="0" w:line="288" w:lineRule="auto"/>
      <w:ind w:left="320" w:right="0" w:firstLine="0"/>
      <w:jc w:val="both"/>
      <w:textAlignment w:val="baseline"/>
    </w:pPr>
    <w:rPr>
      <w:rFonts w:ascii="휴먼명조" w:eastAsia="휴먼명조"/>
      <w:color w:val="000000"/>
      <w:spacing w:val="-12"/>
      <w:w w:val="95"/>
      <w:position w:val="0"/>
      <w:sz w:val="24"/>
      <w:lang/>
    </w:rPr>
  </w:style>
  <w:style w:type="paragraph" w:styleId="21">
    <w:name w:val="1)"/>
    <w:next w:val="21"/>
    <w:pPr>
      <w:tabs>
        <w:tab w:val="left" w:pos="200"/>
      </w:tabs>
      <w:wordWrap w:val="0"/>
      <w:snapToGrid w:val="0"/>
      <w:spacing w:before="200" w:after="0" w:line="288" w:lineRule="auto"/>
      <w:ind w:left="538" w:right="0" w:hanging="298"/>
      <w:jc w:val="both"/>
      <w:textAlignment w:val="baseline"/>
    </w:pPr>
    <w:rPr>
      <w:rFonts w:ascii="휴먼명조" w:eastAsia="휴먼명조"/>
      <w:color w:val="000000"/>
      <w:spacing w:val="-12"/>
      <w:w w:val="95"/>
      <w:position w:val="0"/>
      <w:sz w:val="24"/>
      <w:lang/>
    </w:rPr>
  </w:style>
  <w:style w:type="paragraph" w:styleId="22">
    <w:name w:val="가)"/>
    <w:next w:val="22"/>
    <w:pPr>
      <w:tabs/>
      <w:wordWrap w:val="0"/>
      <w:snapToGrid w:val="0"/>
      <w:spacing w:before="200" w:after="0" w:line="288" w:lineRule="auto"/>
      <w:ind w:left="770" w:right="0" w:hanging="410"/>
      <w:jc w:val="both"/>
      <w:textAlignment w:val="baseline"/>
    </w:pPr>
    <w:rPr>
      <w:rFonts w:ascii="휴먼명조" w:eastAsia="휴먼명조"/>
      <w:color w:val="000000"/>
      <w:spacing w:val="-12"/>
      <w:w w:val="95"/>
      <w:position w:val="0"/>
      <w:sz w:val="24"/>
      <w:lang/>
    </w:rPr>
  </w:style>
  <w:style w:type="paragraph" w:styleId="23">
    <w:name w:val="가)+38.0"/>
    <w:next w:val="23"/>
    <w:pPr>
      <w:tabs/>
      <w:wordWrap w:val="0"/>
      <w:snapToGrid w:val="0"/>
      <w:spacing w:before="200" w:after="0" w:line="288" w:lineRule="auto"/>
      <w:ind w:left="760" w:right="0" w:firstLine="0"/>
      <w:jc w:val="both"/>
      <w:textAlignment w:val="baseline"/>
    </w:pPr>
    <w:rPr>
      <w:rFonts w:ascii="휴먼명조" w:eastAsia="휴먼명조"/>
      <w:color w:val="000000"/>
      <w:spacing w:val="-12"/>
      <w:w w:val="95"/>
      <w:position w:val="0"/>
      <w:sz w:val="24"/>
      <w:lang/>
    </w:rPr>
  </w:style>
  <w:style w:type="paragraph" w:styleId="24">
    <w:name w:val="법령명칭"/>
    <w:next w:val="24"/>
    <w:pPr>
      <w:tabs>
        <w:tab w:val="left" w:pos="400"/>
      </w:tabs>
      <w:wordWrap w:val="0"/>
      <w:snapToGrid w:val="0"/>
      <w:spacing w:before="200" w:after="0" w:line="288" w:lineRule="auto"/>
      <w:ind w:left="0" w:right="0" w:firstLine="0"/>
      <w:jc w:val="both"/>
      <w:textAlignment w:val="baseline"/>
    </w:pPr>
    <w:rPr>
      <w:rFonts w:ascii="휴먼명조" w:eastAsia="휴먼명조"/>
      <w:b w:val="1"/>
      <w:bCs w:val="1"/>
      <w:color w:val="000000"/>
      <w:spacing w:val="-11"/>
      <w:w w:val="95"/>
      <w:position w:val="0"/>
      <w:sz w:val="22"/>
      <w:lang/>
    </w:rPr>
  </w:style>
  <w:style w:type="paragraph" w:styleId="25">
    <w:name w:val="법령"/>
    <w:next w:val="25"/>
    <w:pPr>
      <w:tabs>
        <w:tab w:val="left" w:pos="400"/>
      </w:tabs>
      <w:wordWrap w:val="0"/>
      <w:snapToGrid w:val="0"/>
      <w:spacing w:before="200" w:after="0" w:line="288" w:lineRule="auto"/>
      <w:ind w:left="0" w:right="0" w:firstLine="0"/>
      <w:jc w:val="both"/>
      <w:textAlignment w:val="baseline"/>
    </w:pPr>
    <w:rPr>
      <w:rFonts w:ascii="휴먼명조" w:eastAsia="휴먼명조"/>
      <w:color w:val="000000"/>
      <w:spacing w:val="-11"/>
      <w:w w:val="95"/>
      <w:position w:val="0"/>
      <w:sz w:val="22"/>
      <w:lang/>
    </w:rPr>
  </w:style>
  <w:style w:type="paragraph" w:styleId="26">
    <w:name w:val="법령조문편집"/>
    <w:next w:val="26"/>
    <w:pPr>
      <w:tabs/>
      <w:wordWrap w:val="0"/>
      <w:snapToGrid w:val="0"/>
      <w:spacing w:before="0" w:after="0" w:line="288" w:lineRule="auto"/>
      <w:ind w:left="210" w:right="0" w:firstLine="0"/>
      <w:jc w:val="both"/>
      <w:textAlignment w:val="baseline"/>
    </w:pPr>
    <w:rPr>
      <w:rFonts w:ascii="휴먼명조" w:eastAsia="휴먼명조"/>
      <w:color w:val="000000"/>
      <w:spacing w:val="-11"/>
      <w:w w:val="95"/>
      <w:position w:val="0"/>
      <w:sz w:val="22"/>
      <w:lang/>
    </w:rPr>
  </w:style>
  <w:style w:type="paragraph" w:styleId="27">
    <w:name w:val="기타"/>
    <w:next w:val="27"/>
    <w:pPr>
      <w:tabs/>
      <w:wordWrap w:val="0"/>
      <w:snapToGrid w:val="0"/>
      <w:spacing w:before="200" w:after="0" w:line="288" w:lineRule="auto"/>
      <w:ind w:left="0" w:right="0" w:firstLine="0"/>
      <w:jc w:val="both"/>
      <w:textAlignment w:val="baseline"/>
    </w:pPr>
    <w:rPr>
      <w:rFonts w:ascii="HCI Poppy" w:eastAsia="휴먼명조"/>
      <w:color w:val="000000"/>
      <w:spacing w:val="0"/>
      <w:w w:val="100"/>
      <w:position w:val="0"/>
      <w:sz w:val="24"/>
      <w:lang/>
    </w:rPr>
  </w:style>
</w:styles>
</file>

<file path=word/webSettings.xml><?xml version="1.0" encoding="utf-8"?>
<w:webSettings xmlns:w14="http://schemas.microsoft.com/office/word/2010/wordml" xmlns:r="http://schemas.openxmlformats.org/officeDocument/2006/relationships" xmlns:w="http://schemas.openxmlformats.org/wordprocessingml/2006/main" xmlns:mc="http://schemas.openxmlformats.org/markup-compatibility/2006" mc:Ignorable="w14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></Relationship><Relationship Id="rId2" Type="http://schemas.openxmlformats.org/officeDocument/2006/relationships/settings" Target="settings.xml"></Relationship><Relationship Id="rId3" Type="http://schemas.openxmlformats.org/officeDocument/2006/relationships/webSettings" Target="webSettings.xml"></Relationship><Relationship Id="rId4" Type="http://schemas.openxmlformats.org/officeDocument/2006/relationships/footnotes" Target="footnotes.xml"></Relationship><Relationship Id="rId5" Type="http://schemas.openxmlformats.org/officeDocument/2006/relationships/endnotes" Target="endnotes.xml"></Relationship><Relationship Id="rId6" Type="http://schemas.openxmlformats.org/officeDocument/2006/relationships/fontTable" Target="fontTable.xml"></Relationship><Relationship Id="rId7" Type="http://schemas.openxmlformats.org/officeDocument/2006/relationships/numbering" Target="numbering.xml"></Relationship><Relationship Id="rId8" Type="http://schemas.openxmlformats.org/officeDocument/2006/relationships/customXml" Target="../customXml/item1.xml"></Relationship><Relationship Id="rId9" Type="http://schemas.openxmlformats.org/officeDocument/2006/relationships/customXml" Target="../customXml/item2.xml"></Relationship><Relationship Id="rId10" Type="http://schemas.openxmlformats.org/officeDocument/2006/relationships/theme" Target="theme/theme1.xml"></Relationship><Relationship Id="rId11" Type="http://schemas.openxmlformats.org/officeDocument/2006/relationships/footer" Target="footer1.xml"></Relationship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numbering.xml.rels><?xml version="1.0" encoding="UTF-8" standalone="yes"?><Relationships xmlns="http://schemas.openxmlformats.org/package/2006/relationships"></Relationships>
</file>

<file path=word/theme/theme1.xml><?xml version="1.0" encoding="utf-8"?>
<a:theme xmlns:m="http://schemas.openxmlformats.org/officeDocument/2006/math" xmlns:wpg="http://schemas.microsoft.com/office/word/2010/wordprocessingGroup" xmlns:pvml="urn:schemas-microsoft-com:office:powerpoint" xmlns:mc="http://schemas.openxmlformats.org/markup-compatibility/2006" xmlns:wne="http://schemas.microsoft.com/office/word/2006/wordml" xmlns:wps="http://schemas.microsoft.com/office/word/2010/wordprocessingShape" xmlns:w14="http://schemas.microsoft.com/office/word/2010/wordml" xmlns:a="http://schemas.openxmlformats.org/drawingml/2006/main" xmlns:wvml="urn:schemas-microsoft-com:office:word" xmlns:wp14="http://schemas.microsoft.com/office/word/2010/wordprocessingDrawing" xmlns:xvml="urn:schemas-microsoft-com:office:excel" xmlns:sl="http://schemas.openxmlformats.org/schemaLibrary/2006/main" xmlns:pic="http://schemas.openxmlformats.org/drawingml/2006/picture" xmlns:v="urn:schemas-microsoft-com:vml" xmlns:r="http://schemas.openxmlformats.org/officeDocument/2006/relationships" xmlns:o="urn:schemas-microsoft-com:office:office" xmlns:wp="http://schemas.openxmlformats.org/drawingml/2006/wordprocessingDrawing" xmlns:w="http://schemas.openxmlformats.org/wordprocess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d"/>
      </a:accent4>
      <a:accent5>
        <a:srgbClr val="4bacc6"/>
      </a:accent5>
      <a:accent6>
        <a:srgbClr val="f79649"/>
      </a:accent6>
      <a:hlink>
        <a:srgbClr val="0000ff"/>
      </a:hlink>
      <a:folHlink>
        <a:srgbClr val="800080"/>
      </a:folHlink>
    </a:clrScheme>
    <a:fontScheme name="">
      <a:majorFont>
        <a:latin typeface="맑은 고딕"/>
        <a:ea typeface=""/>
        <a:cs typeface=""/>
      </a:majorFont>
      <a:minorFont>
        <a:latin typeface="맑은 고딕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fillStyleLst>
      <a:lnStyleLst>
        <a:ln w="12700" cap="flat" cmpd="sng" algn="ctr">
          <a:solidFill>
            <a:schemeClr val="phClr"/>
          </a:solidFill>
        </a:ln>
        <a:ln w="25400" cap="flat" cmpd="sng" algn="ctr">
          <a:solidFill>
            <a:schemeClr val="phClr"/>
          </a:solidFill>
        </a:ln>
        <a:ln w="38100" cap="flat" cmpd="sng" algn="ctr">
          <a:solidFill>
            <a:schemeClr val="phClr"/>
          </a:solidFill>
        </a:ln>
      </a:lnStyleLst>
      <a:effectStyleLst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  <a:effectStyle>
          <a:effectLst>
            <a:outerShdw>
              <a:schemeClr val="dk1"/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/>
            </a:gs>
            <a:gs pos="100000">
              <a:schemeClr val="phClr"/>
            </a:gs>
          </a:gsLst>
        </a:gradFill>
        <a:gradFill>
          <a:gsLst>
            <a:gs pos="0">
              <a:schemeClr val="phClr"/>
            </a:gs>
            <a:gs pos="100000">
              <a:schemeClr val="phClr"/>
            </a:gs>
          </a:gsLst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></Relationship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></Relationship></Relationships>
</file>

<file path=customXml/item1.xml><?xml version="1.0" encoding="utf-8"?>
<CoverPageProperties xmlns="http://schemas.microsoft.com/office/2006/coverPageProps"/>
</file>

<file path=customXml/item2.xml><?xml version="1.0" encoding="utf-8"?>
<b:Sources xmlns:b="http://schemas.openxmlformats.org/officeDocument/2006/bibliography" xmlns:s="http://schemas.openxmlformats.org/officeDocument/2006/sharedTypes"/>
</file>

<file path=customXml/itemProps1.xml><?xml version="1.0" encoding="utf-8"?>
<ds:datastoreItem xmlns:ds="http://schemas.openxmlformats.org/officeDocument/2006/customXml" xmlns:s="http://schemas.openxmlformats.org/officeDocument/2006/sharedTypes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xmlns:s="http://schemas.openxmlformats.org/officeDocument/2006/sharedTypes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terms:created xsi:type="dcterms:W3CDTF">2019-10-27T23:07:13Z</dcterms:created>
  <dc:creator>user</dc:creator>
  <dc:title>심의번호   7    </dc:title>
</cp:coreProperties>
</file>